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BA247" w14:textId="77777777" w:rsidR="00ED23EB" w:rsidRPr="00132314" w:rsidRDefault="00ED23EB" w:rsidP="001478D0">
      <w:pPr>
        <w:spacing w:before="100" w:beforeAutospacing="1" w:after="120"/>
        <w:jc w:val="center"/>
        <w:outlineLvl w:val="0"/>
        <w:rPr>
          <w:rFonts w:ascii="Arial" w:eastAsia="Times New Roman" w:hAnsi="Arial" w:cs="Arial"/>
          <w:b/>
          <w:bCs/>
          <w:color w:val="1F1F1F"/>
          <w:kern w:val="36"/>
          <w:sz w:val="18"/>
          <w:szCs w:val="18"/>
          <w:lang w:val="en-US" w:eastAsia="ru-RU"/>
        </w:rPr>
      </w:pPr>
      <w:r w:rsidRPr="00132314">
        <w:rPr>
          <w:rFonts w:ascii="Arial" w:eastAsia="Times New Roman" w:hAnsi="Arial" w:cs="Arial"/>
          <w:b/>
          <w:bCs/>
          <w:color w:val="1F1F1F"/>
          <w:kern w:val="36"/>
          <w:sz w:val="18"/>
          <w:szCs w:val="18"/>
          <w:lang w:val="en-US" w:eastAsia="ru-RU"/>
        </w:rPr>
        <w:t>Numerical Modeling of Stress-Strain State in Steel Cylindrical Shells Under Dynamic Loading via Abaqus/Explicit</w:t>
      </w:r>
    </w:p>
    <w:p w14:paraId="758D7AEC" w14:textId="77777777" w:rsidR="00ED23EB" w:rsidRPr="00132314" w:rsidRDefault="00ED23EB" w:rsidP="00ED23EB">
      <w:pPr>
        <w:spacing w:before="100" w:beforeAutospacing="1" w:after="100" w:afterAutospacing="1"/>
        <w:rPr>
          <w:rFonts w:ascii="Arial" w:eastAsia="Times New Roman" w:hAnsi="Arial" w:cs="Arial"/>
          <w:sz w:val="18"/>
          <w:szCs w:val="18"/>
          <w:lang w:val="en-US" w:eastAsia="ru-RU"/>
        </w:rPr>
      </w:pPr>
      <w:r w:rsidRPr="00132314">
        <w:rPr>
          <w:rFonts w:ascii="Arial" w:eastAsia="Times New Roman" w:hAnsi="Arial" w:cs="Arial"/>
          <w:b/>
          <w:bCs/>
          <w:sz w:val="18"/>
          <w:szCs w:val="18"/>
          <w:lang w:val="en-US" w:eastAsia="ru-RU"/>
        </w:rPr>
        <w:t>Sh. Umirov</w:t>
      </w:r>
      <w:r w:rsidRPr="00132314">
        <w:rPr>
          <w:rFonts w:ascii="Arial" w:hAnsi="Arial" w:cs="Arial"/>
          <w:position w:val="-4"/>
          <w:sz w:val="18"/>
          <w:szCs w:val="18"/>
        </w:rPr>
        <w:object w:dxaOrig="139" w:dyaOrig="300" w14:anchorId="7C9C9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5pt" o:ole="">
            <v:imagedata r:id="rId5" o:title=""/>
          </v:shape>
          <o:OLEObject Type="Embed" ProgID="Equation.DSMT4" ShapeID="_x0000_i1025" DrawAspect="Content" ObjectID="_1842680138" r:id="rId6"/>
        </w:object>
      </w:r>
      <w:r w:rsidRPr="00132314">
        <w:rPr>
          <w:rFonts w:ascii="Arial" w:eastAsia="Times New Roman" w:hAnsi="Arial" w:cs="Arial"/>
          <w:b/>
          <w:bCs/>
          <w:sz w:val="18"/>
          <w:szCs w:val="18"/>
          <w:lang w:val="en-US" w:eastAsia="ru-RU"/>
        </w:rPr>
        <w:t>, I. Safarov, B. Nuriddinov, F. Fayzullayev, M. Djumaniyozova</w:t>
      </w:r>
    </w:p>
    <w:p w14:paraId="4FB1969C" w14:textId="05C12BC9" w:rsidR="00ED23EB" w:rsidRDefault="00ED23EB" w:rsidP="00ED23EB">
      <w:pPr>
        <w:spacing w:before="100" w:beforeAutospacing="1" w:after="100" w:afterAutospacing="1"/>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 xml:space="preserve">Tashkent Institute of Chemical Technology, Navoiy St. 32, 100011, Tashkent, Uzbekistan </w:t>
      </w:r>
      <w:r w:rsidRPr="00132314">
        <w:rPr>
          <w:rFonts w:ascii="Arial" w:hAnsi="Arial" w:cs="Arial"/>
          <w:position w:val="-4"/>
          <w:sz w:val="18"/>
          <w:szCs w:val="18"/>
        </w:rPr>
        <w:object w:dxaOrig="139" w:dyaOrig="300" w14:anchorId="1DAD62AA">
          <v:shape id="_x0000_i1026" type="#_x0000_t75" style="width:6.6pt;height:15pt" o:ole="">
            <v:imagedata r:id="rId7" o:title=""/>
          </v:shape>
          <o:OLEObject Type="Embed" ProgID="Equation.DSMT4" ShapeID="_x0000_i1026" DrawAspect="Content" ObjectID="_1842680139" r:id="rId8"/>
        </w:object>
      </w:r>
      <w:hyperlink r:id="rId9" w:history="1">
        <w:r w:rsidRPr="00132314">
          <w:rPr>
            <w:rStyle w:val="a4"/>
            <w:rFonts w:ascii="Arial" w:eastAsia="Times New Roman" w:hAnsi="Arial" w:cs="Arial"/>
            <w:sz w:val="18"/>
            <w:szCs w:val="18"/>
            <w:lang w:val="en-US" w:eastAsia="ru-RU"/>
          </w:rPr>
          <w:t>sh.umirov@gmail.com</w:t>
        </w:r>
      </w:hyperlink>
      <w:r w:rsidRPr="00132314">
        <w:rPr>
          <w:rFonts w:ascii="Arial" w:eastAsia="Times New Roman" w:hAnsi="Arial" w:cs="Arial"/>
          <w:sz w:val="18"/>
          <w:szCs w:val="18"/>
          <w:lang w:val="en-US" w:eastAsia="ru-RU"/>
        </w:rPr>
        <w:t xml:space="preserve"> </w:t>
      </w:r>
    </w:p>
    <w:p w14:paraId="5EB97936" w14:textId="0C6BF97E" w:rsidR="00132314" w:rsidRDefault="00132314" w:rsidP="00ED23EB">
      <w:pPr>
        <w:spacing w:before="100" w:beforeAutospacing="1" w:after="100" w:afterAutospacing="1"/>
        <w:rPr>
          <w:rFonts w:ascii="Arial" w:eastAsia="Times New Roman" w:hAnsi="Arial" w:cs="Arial"/>
          <w:sz w:val="18"/>
          <w:szCs w:val="18"/>
          <w:lang w:val="en-US" w:eastAsia="ru-RU"/>
        </w:rPr>
      </w:pPr>
    </w:p>
    <w:p w14:paraId="254F0754" w14:textId="2F7F348F" w:rsidR="00132314" w:rsidRPr="00132314" w:rsidRDefault="00132314" w:rsidP="00ED23EB">
      <w:pPr>
        <w:spacing w:before="100" w:beforeAutospacing="1" w:after="100" w:afterAutospacing="1"/>
        <w:rPr>
          <w:rFonts w:ascii="Arial" w:hAnsi="Arial" w:cs="Arial"/>
          <w:b/>
          <w:sz w:val="22"/>
          <w:highlight w:val="lightGray"/>
          <w:lang w:val="en-US"/>
        </w:rPr>
      </w:pPr>
      <w:r w:rsidRPr="00132314">
        <w:rPr>
          <w:rFonts w:ascii="Arial" w:hAnsi="Arial" w:cs="Arial"/>
          <w:b/>
          <w:sz w:val="22"/>
          <w:highlight w:val="lightGray"/>
          <w:lang w:val="en-US"/>
        </w:rPr>
        <w:t>Response to Reviewers</w:t>
      </w:r>
    </w:p>
    <w:p w14:paraId="0C4A1645" w14:textId="77777777" w:rsidR="00132314" w:rsidRPr="00132314" w:rsidRDefault="00132314" w:rsidP="00132314">
      <w:pPr>
        <w:pStyle w:val="a3"/>
        <w:rPr>
          <w:rFonts w:ascii="Arial" w:hAnsi="Arial" w:cs="Arial"/>
          <w:sz w:val="22"/>
          <w:szCs w:val="22"/>
          <w:highlight w:val="lightGray"/>
        </w:rPr>
      </w:pPr>
      <w:r w:rsidRPr="00132314">
        <w:rPr>
          <w:rFonts w:ascii="Arial" w:hAnsi="Arial" w:cs="Arial"/>
          <w:sz w:val="22"/>
          <w:szCs w:val="22"/>
          <w:highlight w:val="lightGray"/>
          <w:lang w:val="en-US"/>
        </w:rPr>
        <w:t xml:space="preserve">We would like to thank the reviewers for their constructive comments. </w:t>
      </w:r>
      <w:r w:rsidRPr="00132314">
        <w:rPr>
          <w:rFonts w:ascii="Arial" w:hAnsi="Arial" w:cs="Arial"/>
          <w:sz w:val="22"/>
          <w:szCs w:val="22"/>
          <w:highlight w:val="lightGray"/>
        </w:rPr>
        <w:t>We have addressed all concerns as follows:</w:t>
      </w:r>
    </w:p>
    <w:p w14:paraId="114501F4" w14:textId="77777777" w:rsidR="00132314" w:rsidRPr="00132314" w:rsidRDefault="00132314" w:rsidP="00132314">
      <w:pPr>
        <w:pStyle w:val="a3"/>
        <w:numPr>
          <w:ilvl w:val="0"/>
          <w:numId w:val="5"/>
        </w:numPr>
        <w:rPr>
          <w:rFonts w:ascii="Arial" w:hAnsi="Arial" w:cs="Arial"/>
          <w:sz w:val="22"/>
          <w:szCs w:val="22"/>
          <w:highlight w:val="lightGray"/>
          <w:lang w:val="en-US"/>
        </w:rPr>
      </w:pPr>
      <w:r w:rsidRPr="00132314">
        <w:rPr>
          <w:rFonts w:ascii="Arial" w:hAnsi="Arial" w:cs="Arial"/>
          <w:sz w:val="22"/>
          <w:szCs w:val="22"/>
          <w:highlight w:val="lightGray"/>
          <w:lang w:val="en-US"/>
        </w:rPr>
        <w:t>The manuscript has been reformatted to the required Arial 9 font.</w:t>
      </w:r>
    </w:p>
    <w:p w14:paraId="1F68998D" w14:textId="77777777" w:rsidR="00132314" w:rsidRPr="00132314" w:rsidRDefault="00132314" w:rsidP="00132314">
      <w:pPr>
        <w:pStyle w:val="a3"/>
        <w:numPr>
          <w:ilvl w:val="0"/>
          <w:numId w:val="5"/>
        </w:numPr>
        <w:rPr>
          <w:rFonts w:ascii="Arial" w:hAnsi="Arial" w:cs="Arial"/>
          <w:sz w:val="22"/>
          <w:szCs w:val="22"/>
          <w:highlight w:val="lightGray"/>
          <w:lang w:val="en-US"/>
        </w:rPr>
      </w:pPr>
      <w:r w:rsidRPr="00132314">
        <w:rPr>
          <w:rFonts w:ascii="Arial" w:hAnsi="Arial" w:cs="Arial"/>
          <w:sz w:val="22"/>
          <w:szCs w:val="22"/>
          <w:highlight w:val="lightGray"/>
          <w:lang w:val="en-US"/>
        </w:rPr>
        <w:t>Section 2.4 has been updated with detailed boundary conditions.</w:t>
      </w:r>
    </w:p>
    <w:p w14:paraId="0AD77AA3" w14:textId="77777777" w:rsidR="00132314" w:rsidRPr="00132314" w:rsidRDefault="00132314" w:rsidP="00132314">
      <w:pPr>
        <w:pStyle w:val="a3"/>
        <w:numPr>
          <w:ilvl w:val="0"/>
          <w:numId w:val="5"/>
        </w:numPr>
        <w:rPr>
          <w:rFonts w:ascii="Arial" w:hAnsi="Arial" w:cs="Arial"/>
          <w:sz w:val="22"/>
          <w:szCs w:val="22"/>
          <w:highlight w:val="lightGray"/>
          <w:lang w:val="en-US"/>
        </w:rPr>
      </w:pPr>
      <w:r w:rsidRPr="00132314">
        <w:rPr>
          <w:rFonts w:ascii="Arial" w:hAnsi="Arial" w:cs="Arial"/>
          <w:sz w:val="22"/>
          <w:szCs w:val="22"/>
          <w:highlight w:val="lightGray"/>
          <w:lang w:val="en-US"/>
        </w:rPr>
        <w:t>Section 2.6 (Numerical Convergence Study) has been added to address mesh and time-step independence.</w:t>
      </w:r>
    </w:p>
    <w:p w14:paraId="07886C7A" w14:textId="77777777" w:rsidR="00132314" w:rsidRPr="00132314" w:rsidRDefault="00132314" w:rsidP="00132314">
      <w:pPr>
        <w:pStyle w:val="a3"/>
        <w:numPr>
          <w:ilvl w:val="0"/>
          <w:numId w:val="5"/>
        </w:numPr>
        <w:rPr>
          <w:rFonts w:ascii="Arial" w:hAnsi="Arial" w:cs="Arial"/>
          <w:sz w:val="22"/>
          <w:szCs w:val="22"/>
          <w:highlight w:val="lightGray"/>
          <w:lang w:val="en-US"/>
        </w:rPr>
      </w:pPr>
      <w:r w:rsidRPr="00132314">
        <w:rPr>
          <w:rFonts w:ascii="Arial" w:hAnsi="Arial" w:cs="Arial"/>
          <w:sz w:val="22"/>
          <w:szCs w:val="22"/>
          <w:highlight w:val="lightGray"/>
          <w:lang w:val="en-US"/>
        </w:rPr>
        <w:t>Figures 1, 2, and 3 have been updated with legends and appropriate units (MPa, mm, J).</w:t>
      </w:r>
    </w:p>
    <w:p w14:paraId="17B62CB6" w14:textId="77777777" w:rsidR="00132314" w:rsidRPr="00132314" w:rsidRDefault="00132314" w:rsidP="00132314">
      <w:pPr>
        <w:pStyle w:val="a3"/>
        <w:numPr>
          <w:ilvl w:val="0"/>
          <w:numId w:val="5"/>
        </w:numPr>
        <w:rPr>
          <w:rFonts w:ascii="Arial" w:hAnsi="Arial" w:cs="Arial"/>
          <w:sz w:val="22"/>
          <w:szCs w:val="22"/>
          <w:highlight w:val="lightGray"/>
          <w:lang w:val="en-US"/>
        </w:rPr>
      </w:pPr>
      <w:r w:rsidRPr="00132314">
        <w:rPr>
          <w:rFonts w:ascii="Arial" w:hAnsi="Arial" w:cs="Arial"/>
          <w:sz w:val="22"/>
          <w:szCs w:val="22"/>
          <w:highlight w:val="lightGray"/>
          <w:lang w:val="en-US"/>
        </w:rPr>
        <w:t>The reference list has been updated to follow the Harvard style.</w:t>
      </w:r>
    </w:p>
    <w:p w14:paraId="6AEBC7A5" w14:textId="77777777"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t>The numerical analysis of the mechanical behavior of thin-walled steel cylindrical shells subjected to external dynamic pressure is a critical aspect of structural engineering. Understanding the response of these structures to rapid pressure fluctuations is essential for ensuring the operational safety of high-pressure vessels and industrial pipelines. In this study, the stress distribution and deformation patterns of a specific cylindrical model are evaluated under high-speed loading conditions. The investigation utilizes a steel cylinder with a radius of 100 mm, thickness of 10 mm, and length of 400 mm. The modeling process is automated within the Abaqus/CAE environment using Python scripting to enhance precision. The Explicit integrati</w:t>
      </w:r>
      <w:bookmarkStart w:id="0" w:name="_GoBack"/>
      <w:bookmarkEnd w:id="0"/>
      <w:r w:rsidRPr="00132314">
        <w:rPr>
          <w:rFonts w:ascii="Arial" w:eastAsia="Times New Roman" w:hAnsi="Arial" w:cs="Arial"/>
          <w:color w:val="1F1F1F"/>
          <w:sz w:val="18"/>
          <w:szCs w:val="18"/>
          <w:lang w:val="en-US" w:eastAsia="ru-RU"/>
        </w:rPr>
        <w:t>on method is employed to solve the dynamic equations, incorporating the elastic-plastic properties of the material. Results indicate that under a dynamic pressure of 100 MPa, the maximum Von Mises stress reaches 108.3 MPa with a peak displacement of 0.167 mm. The reliability of the numerical model is confirmed through a comprehensive energy balance analysis.</w:t>
      </w:r>
    </w:p>
    <w:p w14:paraId="7256F123" w14:textId="77777777" w:rsidR="00ED23EB" w:rsidRPr="00132314" w:rsidRDefault="00ED23EB" w:rsidP="00ED23EB">
      <w:pPr>
        <w:spacing w:before="100" w:beforeAutospacing="1" w:after="0"/>
        <w:jc w:val="both"/>
        <w:rPr>
          <w:rFonts w:ascii="Arial" w:eastAsia="Times New Roman" w:hAnsi="Arial" w:cs="Arial"/>
          <w:color w:val="1F1F1F"/>
          <w:sz w:val="18"/>
          <w:szCs w:val="18"/>
          <w:lang w:val="en-US" w:eastAsia="ru-RU"/>
        </w:rPr>
      </w:pPr>
      <w:r w:rsidRPr="00132314">
        <w:rPr>
          <w:rFonts w:ascii="Arial" w:eastAsia="Times New Roman" w:hAnsi="Arial" w:cs="Arial"/>
          <w:b/>
          <w:bCs/>
          <w:color w:val="1F1F1F"/>
          <w:sz w:val="18"/>
          <w:szCs w:val="18"/>
          <w:bdr w:val="none" w:sz="0" w:space="0" w:color="auto" w:frame="1"/>
          <w:lang w:val="en-US" w:eastAsia="ru-RU"/>
        </w:rPr>
        <w:t>Keywords:</w:t>
      </w:r>
      <w:r w:rsidRPr="00132314">
        <w:rPr>
          <w:rFonts w:ascii="Arial" w:eastAsia="Times New Roman" w:hAnsi="Arial" w:cs="Arial"/>
          <w:color w:val="1F1F1F"/>
          <w:sz w:val="18"/>
          <w:szCs w:val="18"/>
          <w:lang w:val="en-US" w:eastAsia="ru-RU"/>
        </w:rPr>
        <w:t xml:space="preserve"> Abaqus/Explicit, cylindrical shell, numerical modeling, Von Mises stress, dynamic loading, Python scripting, energy analysis.</w:t>
      </w:r>
    </w:p>
    <w:p w14:paraId="0C6DB0A6" w14:textId="77777777" w:rsidR="00ED23EB" w:rsidRPr="00132314" w:rsidRDefault="00ED23EB" w:rsidP="00ED23EB">
      <w:pPr>
        <w:spacing w:before="100" w:beforeAutospacing="1" w:after="0"/>
        <w:jc w:val="both"/>
        <w:outlineLvl w:val="2"/>
        <w:rPr>
          <w:rFonts w:ascii="Arial" w:eastAsia="Times New Roman" w:hAnsi="Arial" w:cs="Arial"/>
          <w:b/>
          <w:bCs/>
          <w:color w:val="1F1F1F"/>
          <w:sz w:val="18"/>
          <w:szCs w:val="18"/>
          <w:lang w:val="en-US" w:eastAsia="ru-RU"/>
        </w:rPr>
      </w:pPr>
      <w:r w:rsidRPr="00132314">
        <w:rPr>
          <w:rFonts w:ascii="Arial" w:eastAsia="Times New Roman" w:hAnsi="Arial" w:cs="Arial"/>
          <w:b/>
          <w:bCs/>
          <w:color w:val="1F1F1F"/>
          <w:sz w:val="18"/>
          <w:szCs w:val="18"/>
          <w:bdr w:val="none" w:sz="0" w:space="0" w:color="auto" w:frame="1"/>
          <w:lang w:val="en-US" w:eastAsia="ru-RU"/>
        </w:rPr>
        <w:t>1. Introduction</w:t>
      </w:r>
    </w:p>
    <w:p w14:paraId="671E7731" w14:textId="77777777"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t>Thin-walled cylindrical shells are extensively utilized in the chemical, petroleum, and power industries as primary components for transport and storage systems. These structures are frequently exposed to transient dynamic loads, such as internal pressure surges, external impacts, or seismic vibrations. Failure to accurately predict the stress-strain state under such impulsive conditions can lead to catastrophic structural damage. Traditional analytical methods often face limitations when dealing with complex boundary conditions and non-linear material behavior. Consequently, finite element analysis (FEA) has become the standard approach for structural integrity assessment. This research focuses on employing the Abaqus/Explicit solver to simulate the high-speed dynamic response of steel cylindrical shells, emphasizing the stability of energy components and the efficiency of automated modeling via Python.</w:t>
      </w:r>
    </w:p>
    <w:p w14:paraId="16CF770F" w14:textId="77777777" w:rsidR="00ED23EB" w:rsidRPr="00132314" w:rsidRDefault="00ED23EB" w:rsidP="00ED23EB">
      <w:pPr>
        <w:spacing w:before="100" w:beforeAutospacing="1" w:after="100" w:afterAutospacing="1"/>
        <w:outlineLvl w:val="2"/>
        <w:rPr>
          <w:rFonts w:ascii="Arial" w:eastAsia="Times New Roman" w:hAnsi="Arial" w:cs="Arial"/>
          <w:b/>
          <w:bCs/>
          <w:sz w:val="18"/>
          <w:szCs w:val="18"/>
          <w:lang w:val="en-US" w:eastAsia="ru-RU"/>
        </w:rPr>
      </w:pPr>
      <w:r w:rsidRPr="00132314">
        <w:rPr>
          <w:rFonts w:ascii="Arial" w:eastAsia="Times New Roman" w:hAnsi="Arial" w:cs="Arial"/>
          <w:b/>
          <w:bCs/>
          <w:sz w:val="18"/>
          <w:szCs w:val="18"/>
          <w:lang w:val="en-US" w:eastAsia="ru-RU"/>
        </w:rPr>
        <w:t>2. MATERIALS AND METHODS</w:t>
      </w:r>
    </w:p>
    <w:p w14:paraId="30172F46" w14:textId="77777777" w:rsidR="00ED23EB" w:rsidRPr="00132314" w:rsidRDefault="00ED23EB" w:rsidP="00ED23EB">
      <w:pPr>
        <w:spacing w:before="100" w:beforeAutospacing="1" w:after="100" w:afterAutospacing="1"/>
        <w:outlineLvl w:val="3"/>
        <w:rPr>
          <w:rFonts w:ascii="Arial" w:eastAsia="Times New Roman" w:hAnsi="Arial" w:cs="Arial"/>
          <w:b/>
          <w:bCs/>
          <w:sz w:val="18"/>
          <w:szCs w:val="18"/>
          <w:lang w:val="en-US" w:eastAsia="ru-RU"/>
        </w:rPr>
      </w:pPr>
      <w:r w:rsidRPr="00132314">
        <w:rPr>
          <w:rFonts w:ascii="Arial" w:eastAsia="Times New Roman" w:hAnsi="Arial" w:cs="Arial"/>
          <w:b/>
          <w:bCs/>
          <w:sz w:val="18"/>
          <w:szCs w:val="18"/>
          <w:lang w:val="en-US" w:eastAsia="ru-RU"/>
        </w:rPr>
        <w:t>2.1. Governing Equations of Motion</w:t>
      </w:r>
    </w:p>
    <w:p w14:paraId="047D6C72" w14:textId="77777777" w:rsidR="00ED23EB" w:rsidRPr="00132314" w:rsidRDefault="00ED23EB" w:rsidP="00ED23EB">
      <w:pPr>
        <w:spacing w:before="100" w:beforeAutospacing="1" w:after="100" w:afterAutospacing="1"/>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The dynamic response of the cylindrical shell in the Abaqus/Explicit environment is governed by the semi-discretized equation of dynamic equilibrium. For a complex system with multiple degrees of freedom, the fundamental equation of motion is expressed as follows:</w:t>
      </w:r>
    </w:p>
    <w:p w14:paraId="5AB606FD" w14:textId="77777777" w:rsidR="00ED23EB" w:rsidRPr="00132314" w:rsidRDefault="00ED23EB" w:rsidP="00ED23EB">
      <w:pPr>
        <w:spacing w:after="0"/>
        <w:jc w:val="center"/>
        <w:rPr>
          <w:rFonts w:ascii="Arial" w:eastAsia="Times New Roman" w:hAnsi="Arial" w:cs="Arial"/>
          <w:sz w:val="18"/>
          <w:szCs w:val="18"/>
          <w:lang w:val="en-US" w:eastAsia="ru-RU"/>
        </w:rPr>
      </w:pPr>
      <w:r w:rsidRPr="00132314">
        <w:rPr>
          <w:rFonts w:ascii="Arial" w:hAnsi="Arial" w:cs="Arial"/>
          <w:position w:val="-10"/>
          <w:sz w:val="18"/>
          <w:szCs w:val="18"/>
        </w:rPr>
        <w:object w:dxaOrig="2420" w:dyaOrig="320" w14:anchorId="1FAEDAB8">
          <v:shape id="_x0000_i1027" type="#_x0000_t75" style="width:121.2pt;height:15.6pt" o:ole="">
            <v:imagedata r:id="rId10" o:title=""/>
          </v:shape>
          <o:OLEObject Type="Embed" ProgID="Equation.DSMT4" ShapeID="_x0000_i1027" DrawAspect="Content" ObjectID="_1842680140" r:id="rId11"/>
        </w:object>
      </w:r>
    </w:p>
    <w:p w14:paraId="1436ECE2" w14:textId="77777777" w:rsidR="00ED23EB" w:rsidRPr="00132314" w:rsidRDefault="00ED23EB" w:rsidP="00ED23EB">
      <w:pPr>
        <w:spacing w:before="100" w:beforeAutospacing="1" w:after="100" w:afterAutospacing="1"/>
        <w:rPr>
          <w:rFonts w:ascii="Arial" w:eastAsia="Times New Roman" w:hAnsi="Arial" w:cs="Arial"/>
          <w:sz w:val="18"/>
          <w:szCs w:val="18"/>
          <w:lang w:eastAsia="ru-RU"/>
        </w:rPr>
      </w:pPr>
      <w:r w:rsidRPr="00132314">
        <w:rPr>
          <w:rFonts w:ascii="Arial" w:eastAsia="Times New Roman" w:hAnsi="Arial" w:cs="Arial"/>
          <w:sz w:val="18"/>
          <w:szCs w:val="18"/>
          <w:lang w:eastAsia="ru-RU"/>
        </w:rPr>
        <w:lastRenderedPageBreak/>
        <w:t>Where:</w:t>
      </w:r>
    </w:p>
    <w:p w14:paraId="1A2A4CD5" w14:textId="77777777" w:rsidR="00ED23EB" w:rsidRPr="00132314" w:rsidRDefault="00ED23EB" w:rsidP="00ED23EB">
      <w:pPr>
        <w:numPr>
          <w:ilvl w:val="0"/>
          <w:numId w:val="4"/>
        </w:numPr>
        <w:spacing w:before="100" w:beforeAutospacing="1" w:after="100" w:afterAutospacing="1"/>
        <w:rPr>
          <w:rFonts w:ascii="Arial" w:eastAsia="Times New Roman" w:hAnsi="Arial" w:cs="Arial"/>
          <w:sz w:val="18"/>
          <w:szCs w:val="18"/>
          <w:lang w:val="en-US" w:eastAsia="ru-RU"/>
        </w:rPr>
      </w:pPr>
      <w:r w:rsidRPr="00132314">
        <w:rPr>
          <w:rFonts w:ascii="Arial" w:hAnsi="Arial" w:cs="Arial"/>
          <w:position w:val="-4"/>
          <w:sz w:val="18"/>
          <w:szCs w:val="18"/>
        </w:rPr>
        <w:object w:dxaOrig="320" w:dyaOrig="260" w14:anchorId="120978D9">
          <v:shape id="_x0000_i1028" type="#_x0000_t75" style="width:15.6pt;height:13.2pt" o:ole="">
            <v:imagedata r:id="rId12" o:title=""/>
          </v:shape>
          <o:OLEObject Type="Embed" ProgID="Equation.DSMT4" ShapeID="_x0000_i1028" DrawAspect="Content" ObjectID="_1842680141" r:id="rId13"/>
        </w:object>
      </w:r>
      <w:r w:rsidRPr="00132314">
        <w:rPr>
          <w:rFonts w:ascii="Arial" w:eastAsia="Times New Roman" w:hAnsi="Arial" w:cs="Arial"/>
          <w:sz w:val="18"/>
          <w:szCs w:val="18"/>
          <w:lang w:val="en-US" w:eastAsia="ru-RU"/>
        </w:rPr>
        <w:t xml:space="preserve"> is the lumped mass matrix;</w:t>
      </w:r>
    </w:p>
    <w:p w14:paraId="63D239BB" w14:textId="77777777" w:rsidR="00ED23EB" w:rsidRPr="00132314" w:rsidRDefault="00ED23EB" w:rsidP="00ED23EB">
      <w:pPr>
        <w:numPr>
          <w:ilvl w:val="0"/>
          <w:numId w:val="4"/>
        </w:numPr>
        <w:spacing w:before="100" w:beforeAutospacing="1" w:after="100" w:afterAutospacing="1"/>
        <w:rPr>
          <w:rFonts w:ascii="Arial" w:eastAsia="Times New Roman" w:hAnsi="Arial" w:cs="Arial"/>
          <w:sz w:val="18"/>
          <w:szCs w:val="18"/>
          <w:lang w:val="en-US" w:eastAsia="ru-RU"/>
        </w:rPr>
      </w:pPr>
      <w:r w:rsidRPr="00132314">
        <w:rPr>
          <w:rFonts w:ascii="Arial" w:hAnsi="Arial" w:cs="Arial"/>
          <w:position w:val="-6"/>
          <w:sz w:val="18"/>
          <w:szCs w:val="18"/>
        </w:rPr>
        <w:object w:dxaOrig="240" w:dyaOrig="279" w14:anchorId="106DD28F">
          <v:shape id="_x0000_i1029" type="#_x0000_t75" style="width:12pt;height:13.8pt" o:ole="">
            <v:imagedata r:id="rId14" o:title=""/>
          </v:shape>
          <o:OLEObject Type="Embed" ProgID="Equation.DSMT4" ShapeID="_x0000_i1029" DrawAspect="Content" ObjectID="_1842680142" r:id="rId15"/>
        </w:object>
      </w:r>
      <w:r w:rsidRPr="00132314">
        <w:rPr>
          <w:rFonts w:ascii="Arial" w:eastAsia="Times New Roman" w:hAnsi="Arial" w:cs="Arial"/>
          <w:sz w:val="18"/>
          <w:szCs w:val="18"/>
          <w:lang w:val="en-US" w:eastAsia="ru-RU"/>
        </w:rPr>
        <w:t xml:space="preserve"> is the damping matrix;</w:t>
      </w:r>
    </w:p>
    <w:p w14:paraId="12FD972C" w14:textId="77777777" w:rsidR="00ED23EB" w:rsidRPr="00132314" w:rsidRDefault="00ED23EB" w:rsidP="00ED23EB">
      <w:pPr>
        <w:numPr>
          <w:ilvl w:val="0"/>
          <w:numId w:val="4"/>
        </w:numPr>
        <w:spacing w:before="100" w:beforeAutospacing="1" w:after="100" w:afterAutospacing="1"/>
        <w:rPr>
          <w:rFonts w:ascii="Arial" w:eastAsia="Times New Roman" w:hAnsi="Arial" w:cs="Arial"/>
          <w:sz w:val="18"/>
          <w:szCs w:val="18"/>
          <w:lang w:val="en-US" w:eastAsia="ru-RU"/>
        </w:rPr>
      </w:pPr>
      <w:r w:rsidRPr="00132314">
        <w:rPr>
          <w:rFonts w:ascii="Arial" w:hAnsi="Arial" w:cs="Arial"/>
          <w:position w:val="-10"/>
          <w:sz w:val="18"/>
          <w:szCs w:val="18"/>
        </w:rPr>
        <w:object w:dxaOrig="740" w:dyaOrig="320" w14:anchorId="6033747D">
          <v:shape id="_x0000_i1030" type="#_x0000_t75" style="width:36.6pt;height:15.6pt" o:ole="">
            <v:imagedata r:id="rId16" o:title=""/>
          </v:shape>
          <o:OLEObject Type="Embed" ProgID="Equation.DSMT4" ShapeID="_x0000_i1030" DrawAspect="Content" ObjectID="_1842680143" r:id="rId17"/>
        </w:object>
      </w:r>
      <w:r w:rsidRPr="00132314">
        <w:rPr>
          <w:rFonts w:ascii="Arial" w:eastAsia="Times New Roman" w:hAnsi="Arial" w:cs="Arial"/>
          <w:sz w:val="18"/>
          <w:szCs w:val="18"/>
          <w:lang w:val="en-US" w:eastAsia="ru-RU"/>
        </w:rPr>
        <w:t xml:space="preserve"> represents the internal force vector, which accounts for both elastic and plastic stress states;</w:t>
      </w:r>
    </w:p>
    <w:p w14:paraId="259D3D77" w14:textId="77777777" w:rsidR="00ED23EB" w:rsidRPr="00132314" w:rsidRDefault="00ED23EB" w:rsidP="00ED23EB">
      <w:pPr>
        <w:numPr>
          <w:ilvl w:val="0"/>
          <w:numId w:val="4"/>
        </w:numPr>
        <w:spacing w:before="100" w:beforeAutospacing="1" w:after="100" w:afterAutospacing="1"/>
        <w:rPr>
          <w:rFonts w:ascii="Arial" w:eastAsia="Times New Roman" w:hAnsi="Arial" w:cs="Arial"/>
          <w:sz w:val="18"/>
          <w:szCs w:val="18"/>
          <w:lang w:val="en-US" w:eastAsia="ru-RU"/>
        </w:rPr>
      </w:pPr>
      <w:r w:rsidRPr="00132314">
        <w:rPr>
          <w:rFonts w:ascii="Arial" w:hAnsi="Arial" w:cs="Arial"/>
          <w:position w:val="-10"/>
          <w:sz w:val="18"/>
          <w:szCs w:val="18"/>
        </w:rPr>
        <w:object w:dxaOrig="480" w:dyaOrig="320" w14:anchorId="3108D69F">
          <v:shape id="_x0000_i1031" type="#_x0000_t75" style="width:24.6pt;height:15.6pt" o:ole="">
            <v:imagedata r:id="rId18" o:title=""/>
          </v:shape>
          <o:OLEObject Type="Embed" ProgID="Equation.DSMT4" ShapeID="_x0000_i1031" DrawAspect="Content" ObjectID="_1842680144" r:id="rId19"/>
        </w:object>
      </w:r>
      <w:r w:rsidRPr="00132314">
        <w:rPr>
          <w:rFonts w:ascii="Arial" w:eastAsia="Times New Roman" w:hAnsi="Arial" w:cs="Arial"/>
          <w:sz w:val="18"/>
          <w:szCs w:val="18"/>
          <w:lang w:val="en-US" w:eastAsia="ru-RU"/>
        </w:rPr>
        <w:t xml:space="preserve"> is the external dynamic pressure vector;</w:t>
      </w:r>
    </w:p>
    <w:p w14:paraId="1C4BC6D7" w14:textId="77777777" w:rsidR="00ED23EB" w:rsidRPr="00132314" w:rsidRDefault="00ED23EB" w:rsidP="00ED23EB">
      <w:pPr>
        <w:numPr>
          <w:ilvl w:val="0"/>
          <w:numId w:val="4"/>
        </w:numPr>
        <w:spacing w:before="100" w:beforeAutospacing="1" w:after="100" w:afterAutospacing="1"/>
        <w:rPr>
          <w:rFonts w:ascii="Arial" w:eastAsia="Times New Roman" w:hAnsi="Arial" w:cs="Arial"/>
          <w:sz w:val="18"/>
          <w:szCs w:val="18"/>
          <w:lang w:val="en-US" w:eastAsia="ru-RU"/>
        </w:rPr>
      </w:pPr>
      <w:r w:rsidRPr="00132314">
        <w:rPr>
          <w:rFonts w:ascii="Arial" w:hAnsi="Arial" w:cs="Arial"/>
          <w:position w:val="-10"/>
          <w:sz w:val="18"/>
          <w:szCs w:val="18"/>
        </w:rPr>
        <w:object w:dxaOrig="620" w:dyaOrig="320" w14:anchorId="3B1E6B3A">
          <v:shape id="_x0000_i1032" type="#_x0000_t75" style="width:30.6pt;height:15.6pt" o:ole="">
            <v:imagedata r:id="rId20" o:title=""/>
          </v:shape>
          <o:OLEObject Type="Embed" ProgID="Equation.DSMT4" ShapeID="_x0000_i1032" DrawAspect="Content" ObjectID="_1842680145" r:id="rId21"/>
        </w:object>
      </w:r>
      <w:r w:rsidRPr="00132314">
        <w:rPr>
          <w:rFonts w:ascii="Arial" w:eastAsia="Times New Roman" w:hAnsi="Arial" w:cs="Arial"/>
          <w:sz w:val="18"/>
          <w:szCs w:val="18"/>
          <w:lang w:val="en-US" w:eastAsia="ru-RU"/>
        </w:rPr>
        <w:t xml:space="preserve"> denote the displacement, velocity, and acceleration vectors, respectively.</w:t>
      </w:r>
    </w:p>
    <w:p w14:paraId="2217D9F5" w14:textId="77777777" w:rsidR="00ED23EB" w:rsidRPr="00132314" w:rsidRDefault="00ED23EB" w:rsidP="00ED23EB">
      <w:pPr>
        <w:spacing w:before="100" w:beforeAutospacing="1" w:after="100" w:afterAutospacing="1"/>
        <w:outlineLvl w:val="3"/>
        <w:rPr>
          <w:rFonts w:ascii="Arial" w:eastAsia="Times New Roman" w:hAnsi="Arial" w:cs="Arial"/>
          <w:b/>
          <w:bCs/>
          <w:sz w:val="18"/>
          <w:szCs w:val="18"/>
          <w:lang w:val="en-US" w:eastAsia="ru-RU"/>
        </w:rPr>
      </w:pPr>
      <w:r w:rsidRPr="00132314">
        <w:rPr>
          <w:rFonts w:ascii="Arial" w:eastAsia="Times New Roman" w:hAnsi="Arial" w:cs="Arial"/>
          <w:b/>
          <w:bCs/>
          <w:sz w:val="18"/>
          <w:szCs w:val="18"/>
          <w:lang w:val="en-US" w:eastAsia="ru-RU"/>
        </w:rPr>
        <w:t>2.2. Numerical Integration Scheme</w:t>
      </w:r>
    </w:p>
    <w:p w14:paraId="08115A28"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 xml:space="preserve">The Explicit solver utilizes the central difference integration rule to calculate the state of the system at time </w:t>
      </w:r>
      <w:r w:rsidRPr="00132314">
        <w:rPr>
          <w:rFonts w:ascii="Arial" w:hAnsi="Arial" w:cs="Arial"/>
          <w:position w:val="-6"/>
          <w:sz w:val="18"/>
          <w:szCs w:val="18"/>
        </w:rPr>
        <w:object w:dxaOrig="600" w:dyaOrig="279" w14:anchorId="19046544">
          <v:shape id="_x0000_i1033" type="#_x0000_t75" style="width:30pt;height:13.8pt" o:ole="">
            <v:imagedata r:id="rId22" o:title=""/>
          </v:shape>
          <o:OLEObject Type="Embed" ProgID="Equation.DSMT4" ShapeID="_x0000_i1033" DrawAspect="Content" ObjectID="_1842680146" r:id="rId23"/>
        </w:object>
      </w:r>
      <w:r w:rsidRPr="00132314">
        <w:rPr>
          <w:rFonts w:ascii="Arial" w:eastAsia="Times New Roman" w:hAnsi="Arial" w:cs="Arial"/>
          <w:sz w:val="18"/>
          <w:szCs w:val="18"/>
          <w:lang w:val="en-US" w:eastAsia="ru-RU"/>
        </w:rPr>
        <w:t xml:space="preserve"> based on the known values at time </w:t>
      </w:r>
      <w:r w:rsidRPr="00132314">
        <w:rPr>
          <w:rFonts w:ascii="Arial" w:hAnsi="Arial" w:cs="Arial"/>
          <w:position w:val="-6"/>
          <w:sz w:val="18"/>
          <w:szCs w:val="18"/>
        </w:rPr>
        <w:object w:dxaOrig="139" w:dyaOrig="240" w14:anchorId="58ADA955">
          <v:shape id="_x0000_i1034" type="#_x0000_t75" style="width:6.6pt;height:12pt" o:ole="">
            <v:imagedata r:id="rId24" o:title=""/>
          </v:shape>
          <o:OLEObject Type="Embed" ProgID="Equation.DSMT4" ShapeID="_x0000_i1034" DrawAspect="Content" ObjectID="_1842680147" r:id="rId25"/>
        </w:object>
      </w:r>
      <w:r w:rsidRPr="00132314">
        <w:rPr>
          <w:rFonts w:ascii="Arial" w:eastAsia="Times New Roman" w:hAnsi="Arial" w:cs="Arial"/>
          <w:sz w:val="18"/>
          <w:szCs w:val="18"/>
          <w:lang w:val="en-US" w:eastAsia="ru-RU"/>
        </w:rPr>
        <w:t>. The nodal accelerations are computed at the beginning of each increment:</w:t>
      </w:r>
    </w:p>
    <w:p w14:paraId="1CBC7551" w14:textId="77777777" w:rsidR="00ED23EB" w:rsidRPr="00132314" w:rsidRDefault="00ED23EB" w:rsidP="00ED23EB">
      <w:pPr>
        <w:spacing w:after="0"/>
        <w:jc w:val="center"/>
        <w:rPr>
          <w:rFonts w:ascii="Arial" w:eastAsia="Times New Roman" w:hAnsi="Arial" w:cs="Arial"/>
          <w:sz w:val="18"/>
          <w:szCs w:val="18"/>
          <w:lang w:val="en-US" w:eastAsia="ru-RU"/>
        </w:rPr>
      </w:pPr>
      <w:r w:rsidRPr="00132314">
        <w:rPr>
          <w:rFonts w:ascii="Arial" w:hAnsi="Arial" w:cs="Arial"/>
          <w:position w:val="-14"/>
          <w:sz w:val="18"/>
          <w:szCs w:val="18"/>
        </w:rPr>
        <w:object w:dxaOrig="1700" w:dyaOrig="400" w14:anchorId="19461499">
          <v:shape id="_x0000_i1035" type="#_x0000_t75" style="width:85.2pt;height:19.8pt" o:ole="">
            <v:imagedata r:id="rId26" o:title=""/>
          </v:shape>
          <o:OLEObject Type="Embed" ProgID="Equation.DSMT4" ShapeID="_x0000_i1035" DrawAspect="Content" ObjectID="_1842680148" r:id="rId27"/>
        </w:object>
      </w:r>
    </w:p>
    <w:p w14:paraId="04ED7487"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The velocity and displacement for the subsequent time step are integrated as follows:</w:t>
      </w:r>
    </w:p>
    <w:p w14:paraId="249C1930" w14:textId="77777777" w:rsidR="00ED23EB" w:rsidRPr="00132314" w:rsidRDefault="00ED23EB" w:rsidP="00ED23EB">
      <w:pPr>
        <w:spacing w:after="0"/>
        <w:jc w:val="center"/>
        <w:rPr>
          <w:rFonts w:ascii="Arial" w:eastAsia="Times New Roman" w:hAnsi="Arial" w:cs="Arial"/>
          <w:sz w:val="18"/>
          <w:szCs w:val="18"/>
          <w:lang w:val="en-US" w:eastAsia="ru-RU"/>
        </w:rPr>
      </w:pPr>
      <w:r w:rsidRPr="00132314">
        <w:rPr>
          <w:rFonts w:ascii="Arial" w:hAnsi="Arial" w:cs="Arial"/>
          <w:position w:val="-30"/>
          <w:sz w:val="18"/>
          <w:szCs w:val="18"/>
        </w:rPr>
        <w:object w:dxaOrig="2880" w:dyaOrig="700" w14:anchorId="3090E895">
          <v:shape id="_x0000_i1036" type="#_x0000_t75" style="width:2in;height:35.4pt" o:ole="">
            <v:imagedata r:id="rId28" o:title=""/>
          </v:shape>
          <o:OLEObject Type="Embed" ProgID="Equation.DSMT4" ShapeID="_x0000_i1036" DrawAspect="Content" ObjectID="_1842680149" r:id="rId29"/>
        </w:object>
      </w:r>
    </w:p>
    <w:p w14:paraId="137F1E7B" w14:textId="77777777" w:rsidR="00ED23EB" w:rsidRPr="00132314" w:rsidRDefault="00ED23EB" w:rsidP="00ED23EB">
      <w:pPr>
        <w:spacing w:after="0"/>
        <w:jc w:val="center"/>
        <w:rPr>
          <w:rFonts w:ascii="Arial" w:eastAsia="Times New Roman" w:hAnsi="Arial" w:cs="Arial"/>
          <w:sz w:val="18"/>
          <w:szCs w:val="18"/>
          <w:lang w:val="en-US" w:eastAsia="ru-RU"/>
        </w:rPr>
      </w:pPr>
      <w:r w:rsidRPr="00132314">
        <w:rPr>
          <w:rFonts w:ascii="Arial" w:hAnsi="Arial" w:cs="Arial"/>
          <w:position w:val="-30"/>
          <w:sz w:val="18"/>
          <w:szCs w:val="18"/>
        </w:rPr>
        <w:object w:dxaOrig="2040" w:dyaOrig="540" w14:anchorId="42375C0B">
          <v:shape id="_x0000_i1037" type="#_x0000_t75" style="width:102pt;height:27pt" o:ole="">
            <v:imagedata r:id="rId30" o:title=""/>
          </v:shape>
          <o:OLEObject Type="Embed" ProgID="Equation.DSMT4" ShapeID="_x0000_i1037" DrawAspect="Content" ObjectID="_1842680150" r:id="rId31"/>
        </w:object>
      </w:r>
    </w:p>
    <w:p w14:paraId="0EC11892"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This method is computationally efficient for high-speed dynamic events as it eliminates the requirement to invert the global stiffness matrix.</w:t>
      </w:r>
    </w:p>
    <w:p w14:paraId="20D8623F" w14:textId="77777777" w:rsidR="00ED23EB" w:rsidRPr="00132314" w:rsidRDefault="00ED23EB" w:rsidP="00ED23EB">
      <w:pPr>
        <w:spacing w:before="100" w:beforeAutospacing="1" w:after="100" w:afterAutospacing="1"/>
        <w:jc w:val="both"/>
        <w:outlineLvl w:val="3"/>
        <w:rPr>
          <w:rFonts w:ascii="Arial" w:eastAsia="Times New Roman" w:hAnsi="Arial" w:cs="Arial"/>
          <w:b/>
          <w:bCs/>
          <w:sz w:val="18"/>
          <w:szCs w:val="18"/>
          <w:lang w:val="en-US" w:eastAsia="ru-RU"/>
        </w:rPr>
      </w:pPr>
      <w:r w:rsidRPr="00132314">
        <w:rPr>
          <w:rFonts w:ascii="Arial" w:eastAsia="Times New Roman" w:hAnsi="Arial" w:cs="Arial"/>
          <w:b/>
          <w:bCs/>
          <w:sz w:val="18"/>
          <w:szCs w:val="18"/>
          <w:lang w:val="en-US" w:eastAsia="ru-RU"/>
        </w:rPr>
        <w:t>2.3. Material Constitutive Law</w:t>
      </w:r>
    </w:p>
    <w:p w14:paraId="283DD01F"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 xml:space="preserve">Given that the steel material exhibits plastic behavior under high-intensity dynamic pressure (100 MPa), the </w:t>
      </w:r>
      <w:r w:rsidRPr="00132314">
        <w:rPr>
          <w:rFonts w:ascii="Arial" w:hAnsi="Arial" w:cs="Arial"/>
          <w:position w:val="-12"/>
          <w:sz w:val="18"/>
          <w:szCs w:val="18"/>
        </w:rPr>
        <w:object w:dxaOrig="279" w:dyaOrig="360" w14:anchorId="60D2E983">
          <v:shape id="_x0000_i1038" type="#_x0000_t75" style="width:13.8pt;height:18.6pt" o:ole="">
            <v:imagedata r:id="rId32" o:title=""/>
          </v:shape>
          <o:OLEObject Type="Embed" ProgID="Equation.DSMT4" ShapeID="_x0000_i1038" DrawAspect="Content" ObjectID="_1842680151" r:id="rId33"/>
        </w:object>
      </w:r>
      <w:r w:rsidRPr="00132314">
        <w:rPr>
          <w:rFonts w:ascii="Arial" w:eastAsia="Times New Roman" w:hAnsi="Arial" w:cs="Arial"/>
          <w:sz w:val="18"/>
          <w:szCs w:val="18"/>
          <w:lang w:val="en-US" w:eastAsia="ru-RU"/>
        </w:rPr>
        <w:t xml:space="preserve"> flow theory based on the Von Mises yield criterion is applied. The total strain increment </w:t>
      </w:r>
      <w:r w:rsidRPr="00132314">
        <w:rPr>
          <w:rFonts w:ascii="Arial" w:hAnsi="Arial" w:cs="Arial"/>
          <w:position w:val="-6"/>
          <w:sz w:val="18"/>
          <w:szCs w:val="18"/>
        </w:rPr>
        <w:object w:dxaOrig="320" w:dyaOrig="279" w14:anchorId="1655266D">
          <v:shape id="_x0000_i1039" type="#_x0000_t75" style="width:15.6pt;height:13.8pt" o:ole="">
            <v:imagedata r:id="rId34" o:title=""/>
          </v:shape>
          <o:OLEObject Type="Embed" ProgID="Equation.DSMT4" ShapeID="_x0000_i1039" DrawAspect="Content" ObjectID="_1842680152" r:id="rId35"/>
        </w:object>
      </w:r>
      <w:r w:rsidRPr="00132314">
        <w:rPr>
          <w:rFonts w:ascii="Arial" w:eastAsia="Times New Roman" w:hAnsi="Arial" w:cs="Arial"/>
          <w:sz w:val="18"/>
          <w:szCs w:val="18"/>
          <w:lang w:val="en-US" w:eastAsia="ru-RU"/>
        </w:rPr>
        <w:t xml:space="preserve"> is decomposed into its elastic </w:t>
      </w:r>
      <w:r w:rsidRPr="00132314">
        <w:rPr>
          <w:rFonts w:ascii="Arial" w:hAnsi="Arial" w:cs="Arial"/>
          <w:position w:val="-6"/>
          <w:sz w:val="18"/>
          <w:szCs w:val="18"/>
        </w:rPr>
        <w:object w:dxaOrig="380" w:dyaOrig="320" w14:anchorId="5BAFE349">
          <v:shape id="_x0000_i1040" type="#_x0000_t75" style="width:19.2pt;height:15.6pt" o:ole="">
            <v:imagedata r:id="rId36" o:title=""/>
          </v:shape>
          <o:OLEObject Type="Embed" ProgID="Equation.DSMT4" ShapeID="_x0000_i1040" DrawAspect="Content" ObjectID="_1842680153" r:id="rId37"/>
        </w:object>
      </w:r>
      <w:r w:rsidRPr="00132314">
        <w:rPr>
          <w:rFonts w:ascii="Arial" w:eastAsia="Times New Roman" w:hAnsi="Arial" w:cs="Arial"/>
          <w:sz w:val="18"/>
          <w:szCs w:val="18"/>
          <w:lang w:val="en-US" w:eastAsia="ru-RU"/>
        </w:rPr>
        <w:t xml:space="preserve"> and plastic </w:t>
      </w:r>
      <w:r w:rsidRPr="00132314">
        <w:rPr>
          <w:rFonts w:ascii="Arial" w:hAnsi="Arial" w:cs="Arial"/>
          <w:position w:val="-6"/>
          <w:sz w:val="18"/>
          <w:szCs w:val="18"/>
        </w:rPr>
        <w:object w:dxaOrig="420" w:dyaOrig="320" w14:anchorId="05AF507F">
          <v:shape id="_x0000_i1041" type="#_x0000_t75" style="width:20.4pt;height:15.6pt" o:ole="">
            <v:imagedata r:id="rId38" o:title=""/>
          </v:shape>
          <o:OLEObject Type="Embed" ProgID="Equation.DSMT4" ShapeID="_x0000_i1041" DrawAspect="Content" ObjectID="_1842680154" r:id="rId39"/>
        </w:object>
      </w:r>
      <w:r w:rsidRPr="00132314">
        <w:rPr>
          <w:rFonts w:ascii="Arial" w:eastAsia="Times New Roman" w:hAnsi="Arial" w:cs="Arial"/>
          <w:sz w:val="18"/>
          <w:szCs w:val="18"/>
          <w:lang w:val="en-US" w:eastAsia="ru-RU"/>
        </w:rPr>
        <w:t xml:space="preserve"> components:</w:t>
      </w:r>
    </w:p>
    <w:p w14:paraId="666608CE" w14:textId="77777777" w:rsidR="00ED23EB" w:rsidRPr="00132314" w:rsidRDefault="00ED23EB" w:rsidP="00ED23EB">
      <w:pPr>
        <w:spacing w:after="0"/>
        <w:jc w:val="center"/>
        <w:rPr>
          <w:rFonts w:ascii="Arial" w:eastAsia="Times New Roman" w:hAnsi="Arial" w:cs="Arial"/>
          <w:sz w:val="18"/>
          <w:szCs w:val="18"/>
          <w:lang w:val="en-US" w:eastAsia="ru-RU"/>
        </w:rPr>
      </w:pPr>
      <w:r w:rsidRPr="00132314">
        <w:rPr>
          <w:rFonts w:ascii="Arial" w:hAnsi="Arial" w:cs="Arial"/>
          <w:position w:val="-6"/>
          <w:sz w:val="18"/>
          <w:szCs w:val="18"/>
        </w:rPr>
        <w:object w:dxaOrig="1440" w:dyaOrig="320" w14:anchorId="31AFDDF9">
          <v:shape id="_x0000_i1042" type="#_x0000_t75" style="width:1in;height:15.6pt" o:ole="">
            <v:imagedata r:id="rId40" o:title=""/>
          </v:shape>
          <o:OLEObject Type="Embed" ProgID="Equation.DSMT4" ShapeID="_x0000_i1042" DrawAspect="Content" ObjectID="_1842680155" r:id="rId41"/>
        </w:object>
      </w:r>
    </w:p>
    <w:p w14:paraId="736CB4FA"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The yield surface is defined as:</w:t>
      </w:r>
    </w:p>
    <w:p w14:paraId="2C67DB79" w14:textId="77777777" w:rsidR="00ED23EB" w:rsidRPr="00132314" w:rsidRDefault="00ED23EB" w:rsidP="00ED23EB">
      <w:pPr>
        <w:spacing w:after="0"/>
        <w:jc w:val="center"/>
        <w:rPr>
          <w:rFonts w:ascii="Arial" w:eastAsia="Times New Roman" w:hAnsi="Arial" w:cs="Arial"/>
          <w:sz w:val="18"/>
          <w:szCs w:val="18"/>
          <w:lang w:val="en-US" w:eastAsia="ru-RU"/>
        </w:rPr>
      </w:pPr>
      <w:r w:rsidRPr="00132314">
        <w:rPr>
          <w:rFonts w:ascii="Arial" w:hAnsi="Arial" w:cs="Arial"/>
          <w:position w:val="-26"/>
          <w:sz w:val="18"/>
          <w:szCs w:val="18"/>
        </w:rPr>
        <w:object w:dxaOrig="2480" w:dyaOrig="700" w14:anchorId="42E35806">
          <v:shape id="_x0000_i1043" type="#_x0000_t75" style="width:123.6pt;height:35.4pt" o:ole="">
            <v:imagedata r:id="rId42" o:title=""/>
          </v:shape>
          <o:OLEObject Type="Embed" ProgID="Equation.DSMT4" ShapeID="_x0000_i1043" DrawAspect="Content" ObjectID="_1842680156" r:id="rId43"/>
        </w:object>
      </w:r>
    </w:p>
    <w:p w14:paraId="275B8627"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 xml:space="preserve">Where </w:t>
      </w:r>
      <w:r w:rsidRPr="00132314">
        <w:rPr>
          <w:rFonts w:ascii="Arial" w:hAnsi="Arial" w:cs="Arial"/>
          <w:position w:val="-14"/>
          <w:sz w:val="18"/>
          <w:szCs w:val="18"/>
        </w:rPr>
        <w:object w:dxaOrig="300" w:dyaOrig="380" w14:anchorId="26B4AB5C">
          <v:shape id="_x0000_i1044" type="#_x0000_t75" style="width:15pt;height:19.2pt" o:ole="">
            <v:imagedata r:id="rId44" o:title=""/>
          </v:shape>
          <o:OLEObject Type="Embed" ProgID="Equation.DSMT4" ShapeID="_x0000_i1044" DrawAspect="Content" ObjectID="_1842680157" r:id="rId45"/>
        </w:object>
      </w:r>
      <w:r w:rsidRPr="00132314">
        <w:rPr>
          <w:rFonts w:ascii="Arial" w:eastAsia="Times New Roman" w:hAnsi="Arial" w:cs="Arial"/>
          <w:sz w:val="18"/>
          <w:szCs w:val="18"/>
          <w:lang w:val="en-US" w:eastAsia="ru-RU"/>
        </w:rPr>
        <w:t xml:space="preserve"> is the deviatoric stress tensor and </w:t>
      </w:r>
      <w:r w:rsidRPr="00132314">
        <w:rPr>
          <w:rFonts w:ascii="Arial" w:hAnsi="Arial" w:cs="Arial"/>
          <w:position w:val="-14"/>
          <w:sz w:val="18"/>
          <w:szCs w:val="18"/>
        </w:rPr>
        <w:object w:dxaOrig="320" w:dyaOrig="380" w14:anchorId="7C1E9F57">
          <v:shape id="_x0000_i1045" type="#_x0000_t75" style="width:15.6pt;height:19.2pt" o:ole="">
            <v:imagedata r:id="rId46" o:title=""/>
          </v:shape>
          <o:OLEObject Type="Embed" ProgID="Equation.DSMT4" ShapeID="_x0000_i1045" DrawAspect="Content" ObjectID="_1842680158" r:id="rId47"/>
        </w:object>
      </w:r>
      <w:r w:rsidRPr="00132314">
        <w:rPr>
          <w:rFonts w:ascii="Arial" w:eastAsia="Times New Roman" w:hAnsi="Arial" w:cs="Arial"/>
          <w:sz w:val="18"/>
          <w:szCs w:val="18"/>
          <w:lang w:val="en-US" w:eastAsia="ru-RU"/>
        </w:rPr>
        <w:t xml:space="preserve"> is the yield stress, set to 275 MPa for this investigation.</w:t>
      </w:r>
    </w:p>
    <w:p w14:paraId="7D364DCC" w14:textId="77777777" w:rsidR="00ED23EB" w:rsidRPr="00132314" w:rsidRDefault="00ED23EB" w:rsidP="00ED23EB">
      <w:pPr>
        <w:spacing w:before="100" w:beforeAutospacing="1" w:after="100" w:afterAutospacing="1"/>
        <w:outlineLvl w:val="3"/>
        <w:rPr>
          <w:rFonts w:ascii="Arial" w:eastAsia="Times New Roman" w:hAnsi="Arial" w:cs="Arial"/>
          <w:b/>
          <w:bCs/>
          <w:sz w:val="18"/>
          <w:szCs w:val="18"/>
          <w:lang w:val="en-US" w:eastAsia="ru-RU"/>
        </w:rPr>
      </w:pPr>
      <w:r w:rsidRPr="00132314">
        <w:rPr>
          <w:rFonts w:ascii="Arial" w:eastAsia="Times New Roman" w:hAnsi="Arial" w:cs="Arial"/>
          <w:b/>
          <w:bCs/>
          <w:sz w:val="18"/>
          <w:szCs w:val="18"/>
          <w:lang w:val="en-US" w:eastAsia="ru-RU"/>
        </w:rPr>
        <w:t>2.4. Geometric Parameters and Boundary Conditions</w:t>
      </w:r>
    </w:p>
    <w:p w14:paraId="27537DD4" w14:textId="77777777"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The structural model consists of a steel cylinder characterized by a radius (</w:t>
      </w:r>
      <w:r w:rsidRPr="00132314">
        <w:rPr>
          <w:rFonts w:ascii="Arial" w:hAnsi="Arial" w:cs="Arial"/>
          <w:position w:val="-4"/>
          <w:sz w:val="18"/>
          <w:szCs w:val="18"/>
        </w:rPr>
        <w:object w:dxaOrig="240" w:dyaOrig="260" w14:anchorId="3DD3D247">
          <v:shape id="_x0000_i1046" type="#_x0000_t75" style="width:12pt;height:13.2pt" o:ole="">
            <v:imagedata r:id="rId48" o:title=""/>
          </v:shape>
          <o:OLEObject Type="Embed" ProgID="Equation.DSMT4" ShapeID="_x0000_i1046" DrawAspect="Content" ObjectID="_1842680159" r:id="rId49"/>
        </w:object>
      </w:r>
      <w:r w:rsidRPr="00132314">
        <w:rPr>
          <w:rFonts w:ascii="Arial" w:eastAsia="Times New Roman" w:hAnsi="Arial" w:cs="Arial"/>
          <w:sz w:val="18"/>
          <w:szCs w:val="18"/>
          <w:lang w:val="en-US" w:eastAsia="ru-RU"/>
        </w:rPr>
        <w:t>) of 100 mm, a wall thickness (</w:t>
      </w:r>
      <w:r w:rsidRPr="00132314">
        <w:rPr>
          <w:rFonts w:ascii="Arial" w:hAnsi="Arial" w:cs="Arial"/>
          <w:position w:val="-6"/>
          <w:sz w:val="18"/>
          <w:szCs w:val="18"/>
        </w:rPr>
        <w:object w:dxaOrig="200" w:dyaOrig="279" w14:anchorId="0236C96F">
          <v:shape id="_x0000_i1047" type="#_x0000_t75" style="width:10.2pt;height:13.8pt" o:ole="">
            <v:imagedata r:id="rId50" o:title=""/>
          </v:shape>
          <o:OLEObject Type="Embed" ProgID="Equation.DSMT4" ShapeID="_x0000_i1047" DrawAspect="Content" ObjectID="_1842680160" r:id="rId51"/>
        </w:object>
      </w:r>
      <w:r w:rsidRPr="00132314">
        <w:rPr>
          <w:rFonts w:ascii="Arial" w:eastAsia="Times New Roman" w:hAnsi="Arial" w:cs="Arial"/>
          <w:sz w:val="18"/>
          <w:szCs w:val="18"/>
          <w:lang w:val="en-US" w:eastAsia="ru-RU"/>
        </w:rPr>
        <w:t>) of 10 mm, and a total length (</w:t>
      </w:r>
      <w:r w:rsidRPr="00132314">
        <w:rPr>
          <w:rFonts w:ascii="Arial" w:hAnsi="Arial" w:cs="Arial"/>
          <w:position w:val="-4"/>
          <w:sz w:val="18"/>
          <w:szCs w:val="18"/>
        </w:rPr>
        <w:object w:dxaOrig="220" w:dyaOrig="260" w14:anchorId="0ADA606C">
          <v:shape id="_x0000_i1048" type="#_x0000_t75" style="width:11.4pt;height:13.2pt" o:ole="">
            <v:imagedata r:id="rId52" o:title=""/>
          </v:shape>
          <o:OLEObject Type="Embed" ProgID="Equation.DSMT4" ShapeID="_x0000_i1048" DrawAspect="Content" ObjectID="_1842680161" r:id="rId53"/>
        </w:object>
      </w:r>
      <w:r w:rsidRPr="00132314">
        <w:rPr>
          <w:rFonts w:ascii="Arial" w:eastAsia="Times New Roman" w:hAnsi="Arial" w:cs="Arial"/>
          <w:sz w:val="18"/>
          <w:szCs w:val="18"/>
          <w:lang w:val="en-US" w:eastAsia="ru-RU"/>
        </w:rPr>
        <w:t>) of 400 mm. The material properties are defined based on structural steel with an elastic modulus of 210 GPa and a Poisson’s ratio of 0.3.</w:t>
      </w:r>
    </w:p>
    <w:p w14:paraId="4980D591" w14:textId="540E818A" w:rsidR="00F800BF" w:rsidRPr="00132314" w:rsidRDefault="00ED23EB" w:rsidP="00F800BF">
      <w:pPr>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The shell is discretized using high-order S4R shell elements to accurately capture the thin-walled behavior. Boundary conditions are defined as fully fixed supports (Encastre) at both ends of the cylinder. A uniform dynamic pressure of 100 MPa is applied to the external surface of the shell over the specified time increment.</w:t>
      </w:r>
      <w:r w:rsidR="00F800BF" w:rsidRPr="00132314">
        <w:rPr>
          <w:rFonts w:ascii="Arial" w:eastAsia="Times New Roman" w:hAnsi="Arial" w:cs="Arial"/>
          <w:sz w:val="18"/>
          <w:szCs w:val="18"/>
          <w:lang w:val="en-US" w:eastAsia="ru-RU"/>
        </w:rPr>
        <w:t xml:space="preserve"> The cylinder is subjected to fully fixed support conditions (Encastre) at both ends, restricting all degrees of </w:t>
      </w:r>
      <w:r w:rsidR="00F800BF" w:rsidRPr="00132314">
        <w:rPr>
          <w:rFonts w:ascii="Arial" w:eastAsia="Times New Roman" w:hAnsi="Arial" w:cs="Arial"/>
          <w:sz w:val="18"/>
          <w:szCs w:val="18"/>
          <w:lang w:val="en-US" w:eastAsia="ru-RU"/>
        </w:rPr>
        <w:lastRenderedPageBreak/>
        <w:t>freedom (</w:t>
      </w:r>
      <w:r w:rsidR="00F800BF" w:rsidRPr="00132314">
        <w:rPr>
          <w:rFonts w:ascii="Arial" w:hAnsi="Arial" w:cs="Arial"/>
          <w:position w:val="-14"/>
          <w:sz w:val="18"/>
          <w:szCs w:val="18"/>
        </w:rPr>
        <w:object w:dxaOrig="1560" w:dyaOrig="380" w14:anchorId="48B363BA">
          <v:shape id="_x0000_i1051" type="#_x0000_t75" style="width:78pt;height:19.2pt" o:ole="">
            <v:imagedata r:id="rId54" o:title=""/>
          </v:shape>
          <o:OLEObject Type="Embed" ProgID="Equation.DSMT4" ShapeID="_x0000_i1051" DrawAspect="Content" ObjectID="_1842680162" r:id="rId55"/>
        </w:object>
      </w:r>
      <w:r w:rsidR="00F800BF" w:rsidRPr="00132314">
        <w:rPr>
          <w:rFonts w:ascii="Arial" w:eastAsia="Times New Roman" w:hAnsi="Arial" w:cs="Arial"/>
          <w:sz w:val="18"/>
          <w:szCs w:val="18"/>
          <w:lang w:val="en-US" w:eastAsia="ru-RU"/>
        </w:rPr>
        <w:t xml:space="preserve"> and </w:t>
      </w:r>
      <w:r w:rsidR="00F800BF" w:rsidRPr="00132314">
        <w:rPr>
          <w:rFonts w:ascii="Arial" w:hAnsi="Arial" w:cs="Arial"/>
          <w:position w:val="-14"/>
          <w:sz w:val="18"/>
          <w:szCs w:val="18"/>
        </w:rPr>
        <w:object w:dxaOrig="1560" w:dyaOrig="380" w14:anchorId="2E277103">
          <v:shape id="_x0000_i1055" type="#_x0000_t75" style="width:78pt;height:19.2pt" o:ole="">
            <v:imagedata r:id="rId56" o:title=""/>
          </v:shape>
          <o:OLEObject Type="Embed" ProgID="Equation.DSMT4" ShapeID="_x0000_i1055" DrawAspect="Content" ObjectID="_1842680163" r:id="rId57"/>
        </w:object>
      </w:r>
      <w:r w:rsidR="00F800BF" w:rsidRPr="00132314">
        <w:rPr>
          <w:rFonts w:ascii="Arial" w:eastAsia="Times New Roman" w:hAnsi="Arial" w:cs="Arial"/>
          <w:sz w:val="18"/>
          <w:szCs w:val="18"/>
          <w:lang w:val="en-US" w:eastAsia="ru-RU"/>
        </w:rPr>
        <w:t>). The internal pressure is applied as a uniform dynamic load distributed over the inner surface, simulating a transient pressure surge.</w:t>
      </w:r>
    </w:p>
    <w:p w14:paraId="5B776A3C" w14:textId="77777777" w:rsidR="00ED23EB" w:rsidRPr="00132314" w:rsidRDefault="00ED23EB" w:rsidP="00ED23EB">
      <w:pPr>
        <w:spacing w:before="100" w:beforeAutospacing="1" w:after="100" w:afterAutospacing="1"/>
        <w:jc w:val="both"/>
        <w:outlineLvl w:val="3"/>
        <w:rPr>
          <w:rFonts w:ascii="Arial" w:eastAsia="Times New Roman" w:hAnsi="Arial" w:cs="Arial"/>
          <w:b/>
          <w:bCs/>
          <w:sz w:val="18"/>
          <w:szCs w:val="18"/>
          <w:lang w:val="en-US" w:eastAsia="ru-RU"/>
        </w:rPr>
      </w:pPr>
      <w:r w:rsidRPr="00132314">
        <w:rPr>
          <w:rFonts w:ascii="Arial" w:eastAsia="Times New Roman" w:hAnsi="Arial" w:cs="Arial"/>
          <w:b/>
          <w:bCs/>
          <w:sz w:val="18"/>
          <w:szCs w:val="18"/>
          <w:lang w:val="en-US" w:eastAsia="ru-RU"/>
        </w:rPr>
        <w:t>2.5. Automated Scripting and Implementation</w:t>
      </w:r>
    </w:p>
    <w:p w14:paraId="0F33798F" w14:textId="6E8DE81A" w:rsidR="00ED23EB" w:rsidRPr="00132314" w:rsidRDefault="00ED23EB"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eastAsia="Times New Roman" w:hAnsi="Arial" w:cs="Arial"/>
          <w:sz w:val="18"/>
          <w:szCs w:val="18"/>
          <w:lang w:val="en-US" w:eastAsia="ru-RU"/>
        </w:rPr>
        <w:t>To ensure the repeatability of the simulation and facilitate parametric optimization, the modeling process is fully automated using the Abaqus Python Scripting Interface (API). This approach allows for the systematic and error-free generation of geometry, mesh density control, and loading sequences, providing a robust platform for evaluating structural integrity under impulsive pressure loads.</w:t>
      </w:r>
    </w:p>
    <w:p w14:paraId="550E11C6" w14:textId="4B8C5FA7" w:rsidR="00F800BF" w:rsidRPr="00132314" w:rsidRDefault="00F800BF" w:rsidP="00ED23EB">
      <w:pPr>
        <w:spacing w:before="100" w:beforeAutospacing="1" w:after="100" w:afterAutospacing="1"/>
        <w:jc w:val="both"/>
        <w:rPr>
          <w:rFonts w:ascii="Arial" w:hAnsi="Arial" w:cs="Arial"/>
          <w:b/>
          <w:sz w:val="18"/>
          <w:szCs w:val="18"/>
          <w:lang w:val="en-US"/>
        </w:rPr>
      </w:pPr>
      <w:r w:rsidRPr="00132314">
        <w:rPr>
          <w:rFonts w:ascii="Arial" w:hAnsi="Arial" w:cs="Arial"/>
          <w:b/>
          <w:sz w:val="18"/>
          <w:szCs w:val="18"/>
          <w:lang w:val="en-US"/>
        </w:rPr>
        <w:t>2.6. Numerical Convergence Study</w:t>
      </w:r>
    </w:p>
    <w:p w14:paraId="633E5F4F" w14:textId="4D23DEC7" w:rsidR="00F800BF" w:rsidRPr="00132314" w:rsidRDefault="00F800BF" w:rsidP="00ED23EB">
      <w:pPr>
        <w:spacing w:before="100" w:beforeAutospacing="1" w:after="100" w:afterAutospacing="1"/>
        <w:jc w:val="both"/>
        <w:rPr>
          <w:rFonts w:ascii="Arial" w:eastAsia="Times New Roman" w:hAnsi="Arial" w:cs="Arial"/>
          <w:sz w:val="18"/>
          <w:szCs w:val="18"/>
          <w:lang w:val="en-US" w:eastAsia="ru-RU"/>
        </w:rPr>
      </w:pPr>
      <w:r w:rsidRPr="00132314">
        <w:rPr>
          <w:rFonts w:ascii="Arial" w:hAnsi="Arial" w:cs="Arial"/>
          <w:sz w:val="18"/>
          <w:szCs w:val="18"/>
          <w:lang w:val="en-US"/>
        </w:rPr>
        <w:t>T</w:t>
      </w:r>
      <w:r w:rsidRPr="00132314">
        <w:rPr>
          <w:rFonts w:ascii="Arial" w:hAnsi="Arial" w:cs="Arial"/>
          <w:sz w:val="18"/>
          <w:szCs w:val="18"/>
          <w:lang w:val="en-US"/>
        </w:rPr>
        <w:t>o ensure the reliability of the numerical results, a mesh convergence study was performed. The mesh density was increased until the maximum Von Mises stress varied by less than 2%. The stable time increment was automatically calculated by the Abaqus/Explicit solver based on the Courant-Friedrichs-Lewy (CFL) condition, ensuring numerical stability without excessive computational cost.</w:t>
      </w:r>
    </w:p>
    <w:p w14:paraId="44CB1CCB" w14:textId="77777777" w:rsidR="00ED23EB" w:rsidRPr="00132314" w:rsidRDefault="00ED23EB" w:rsidP="00ED23EB">
      <w:pPr>
        <w:spacing w:before="100" w:beforeAutospacing="1" w:after="0"/>
        <w:jc w:val="both"/>
        <w:outlineLvl w:val="2"/>
        <w:rPr>
          <w:rFonts w:ascii="Arial" w:eastAsia="Times New Roman" w:hAnsi="Arial" w:cs="Arial"/>
          <w:b/>
          <w:bCs/>
          <w:color w:val="1F1F1F"/>
          <w:sz w:val="18"/>
          <w:szCs w:val="18"/>
          <w:lang w:val="en-US" w:eastAsia="ru-RU"/>
        </w:rPr>
      </w:pPr>
      <w:r w:rsidRPr="00132314">
        <w:rPr>
          <w:rFonts w:ascii="Arial" w:eastAsia="Times New Roman" w:hAnsi="Arial" w:cs="Arial"/>
          <w:b/>
          <w:bCs/>
          <w:color w:val="1F1F1F"/>
          <w:sz w:val="18"/>
          <w:szCs w:val="18"/>
          <w:bdr w:val="none" w:sz="0" w:space="0" w:color="auto" w:frame="1"/>
          <w:lang w:val="en-US" w:eastAsia="ru-RU"/>
        </w:rPr>
        <w:t>3. Results and Discussion</w:t>
      </w:r>
    </w:p>
    <w:p w14:paraId="3F1C7A47" w14:textId="77777777"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t>The numerical simulation provides detailed insights into the stress distribution and structural deformation of the cylindrical shell. The primary metric for evaluating structural safety is the Von Mises equivalent stress.</w:t>
      </w:r>
    </w:p>
    <w:p w14:paraId="428BCA2A" w14:textId="77777777" w:rsidR="001478D0" w:rsidRPr="00132314" w:rsidRDefault="001478D0" w:rsidP="001478D0">
      <w:pPr>
        <w:spacing w:before="100" w:beforeAutospacing="1" w:after="0"/>
        <w:jc w:val="center"/>
        <w:rPr>
          <w:rFonts w:ascii="Arial" w:eastAsia="Times New Roman" w:hAnsi="Arial" w:cs="Arial"/>
          <w:i/>
          <w:iCs/>
          <w:color w:val="1F1F1F"/>
          <w:sz w:val="18"/>
          <w:szCs w:val="18"/>
          <w:bdr w:val="none" w:sz="0" w:space="0" w:color="auto" w:frame="1"/>
          <w:lang w:val="en-US" w:eastAsia="ru-RU"/>
        </w:rPr>
      </w:pPr>
      <w:r w:rsidRPr="00132314">
        <w:rPr>
          <w:rFonts w:ascii="Arial" w:hAnsi="Arial" w:cs="Arial"/>
          <w:noProof/>
          <w:sz w:val="18"/>
          <w:szCs w:val="18"/>
          <w:lang w:eastAsia="ru-RU"/>
        </w:rPr>
        <w:drawing>
          <wp:inline distT="0" distB="0" distL="0" distR="0" wp14:anchorId="76B1D272" wp14:editId="5DF196A2">
            <wp:extent cx="3450566" cy="1897323"/>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extLst>
                        <a:ext uri="{BEBA8EAE-BF5A-486C-A8C5-ECC9F3942E4B}">
                          <a14:imgProps xmlns:a14="http://schemas.microsoft.com/office/drawing/2010/main">
                            <a14:imgLayer r:embed="rId59">
                              <a14:imgEffect>
                                <a14:brightnessContrast bright="40000" contrast="-20000"/>
                              </a14:imgEffect>
                            </a14:imgLayer>
                          </a14:imgProps>
                        </a:ext>
                      </a:extLst>
                    </a:blip>
                    <a:srcRect l="28587" t="7027"/>
                    <a:stretch/>
                  </pic:blipFill>
                  <pic:spPr bwMode="auto">
                    <a:xfrm>
                      <a:off x="0" y="0"/>
                      <a:ext cx="3472125" cy="1909178"/>
                    </a:xfrm>
                    <a:prstGeom prst="rect">
                      <a:avLst/>
                    </a:prstGeom>
                    <a:ln>
                      <a:noFill/>
                    </a:ln>
                    <a:extLst>
                      <a:ext uri="{53640926-AAD7-44D8-BBD7-CCE9431645EC}">
                        <a14:shadowObscured xmlns:a14="http://schemas.microsoft.com/office/drawing/2010/main"/>
                      </a:ext>
                    </a:extLst>
                  </pic:spPr>
                </pic:pic>
              </a:graphicData>
            </a:graphic>
          </wp:inline>
        </w:drawing>
      </w:r>
    </w:p>
    <w:p w14:paraId="07D774F8" w14:textId="77777777" w:rsidR="00ED23EB" w:rsidRPr="00132314" w:rsidRDefault="00ED23EB" w:rsidP="00ED23EB">
      <w:pPr>
        <w:spacing w:before="100" w:beforeAutospacing="1" w:after="0"/>
        <w:jc w:val="both"/>
        <w:rPr>
          <w:rFonts w:ascii="Arial" w:eastAsia="Times New Roman" w:hAnsi="Arial" w:cs="Arial"/>
          <w:color w:val="1F1F1F"/>
          <w:sz w:val="18"/>
          <w:szCs w:val="18"/>
          <w:lang w:val="en-US" w:eastAsia="ru-RU"/>
        </w:rPr>
      </w:pPr>
      <w:r w:rsidRPr="00132314">
        <w:rPr>
          <w:rFonts w:ascii="Arial" w:eastAsia="Times New Roman" w:hAnsi="Arial" w:cs="Arial"/>
          <w:b/>
          <w:i/>
          <w:iCs/>
          <w:color w:val="1F1F1F"/>
          <w:sz w:val="18"/>
          <w:szCs w:val="18"/>
          <w:bdr w:val="none" w:sz="0" w:space="0" w:color="auto" w:frame="1"/>
          <w:lang w:val="en-US" w:eastAsia="ru-RU"/>
        </w:rPr>
        <w:t>Figure 1. Distribution of Von Mises equivalent stresses in the cylindrical shell under 100 MPa pressure</w:t>
      </w:r>
      <w:r w:rsidRPr="00132314">
        <w:rPr>
          <w:rFonts w:ascii="Arial" w:eastAsia="Times New Roman" w:hAnsi="Arial" w:cs="Arial"/>
          <w:i/>
          <w:iCs/>
          <w:color w:val="1F1F1F"/>
          <w:sz w:val="18"/>
          <w:szCs w:val="18"/>
          <w:bdr w:val="none" w:sz="0" w:space="0" w:color="auto" w:frame="1"/>
          <w:lang w:val="en-US" w:eastAsia="ru-RU"/>
        </w:rPr>
        <w:t>.</w:t>
      </w:r>
    </w:p>
    <w:p w14:paraId="6FAEFB0C" w14:textId="77777777"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t>The maximum Von Mises stress is recorded as 108.3 MPa (Figure 1), which remains within the safe operational limits for the specified steel grade. The spatial distribution of stress indicates higher concentrations near the fixed supports, while the central region exhibits a more uniform stress state. The peak transverse displacement is measured at 0.167 mm.</w:t>
      </w:r>
    </w:p>
    <w:p w14:paraId="26E1FAF7" w14:textId="77777777" w:rsidR="001478D0" w:rsidRPr="00132314" w:rsidRDefault="001478D0" w:rsidP="001478D0">
      <w:pPr>
        <w:spacing w:before="100" w:beforeAutospacing="1" w:after="0"/>
        <w:jc w:val="center"/>
        <w:rPr>
          <w:rFonts w:ascii="Arial" w:eastAsia="Times New Roman" w:hAnsi="Arial" w:cs="Arial"/>
          <w:i/>
          <w:iCs/>
          <w:color w:val="1F1F1F"/>
          <w:sz w:val="18"/>
          <w:szCs w:val="18"/>
          <w:bdr w:val="none" w:sz="0" w:space="0" w:color="auto" w:frame="1"/>
          <w:lang w:val="en-US" w:eastAsia="ru-RU"/>
        </w:rPr>
      </w:pPr>
      <w:r w:rsidRPr="00132314">
        <w:rPr>
          <w:rFonts w:ascii="Arial" w:hAnsi="Arial" w:cs="Arial"/>
          <w:noProof/>
          <w:sz w:val="18"/>
          <w:szCs w:val="18"/>
          <w:lang w:eastAsia="ru-RU"/>
        </w:rPr>
        <w:drawing>
          <wp:inline distT="0" distB="0" distL="0" distR="0" wp14:anchorId="1125C52D" wp14:editId="30A454AE">
            <wp:extent cx="3844068" cy="21600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BEBA8EAE-BF5A-486C-A8C5-ECC9F3942E4B}">
                          <a14:imgProps xmlns:a14="http://schemas.microsoft.com/office/drawing/2010/main">
                            <a14:imgLayer r:embed="rId61">
                              <a14:imgEffect>
                                <a14:brightnessContrast bright="40000" contrast="40000"/>
                              </a14:imgEffect>
                            </a14:imgLayer>
                          </a14:imgProps>
                        </a:ext>
                      </a:extLst>
                    </a:blip>
                    <a:srcRect l="21990" t="3193"/>
                    <a:stretch/>
                  </pic:blipFill>
                  <pic:spPr bwMode="auto">
                    <a:xfrm>
                      <a:off x="0" y="0"/>
                      <a:ext cx="3844068" cy="2160000"/>
                    </a:xfrm>
                    <a:prstGeom prst="rect">
                      <a:avLst/>
                    </a:prstGeom>
                    <a:ln>
                      <a:noFill/>
                    </a:ln>
                    <a:extLst>
                      <a:ext uri="{53640926-AAD7-44D8-BBD7-CCE9431645EC}">
                        <a14:shadowObscured xmlns:a14="http://schemas.microsoft.com/office/drawing/2010/main"/>
                      </a:ext>
                    </a:extLst>
                  </pic:spPr>
                </pic:pic>
              </a:graphicData>
            </a:graphic>
          </wp:inline>
        </w:drawing>
      </w:r>
    </w:p>
    <w:p w14:paraId="46659618" w14:textId="77777777" w:rsidR="00ED23EB" w:rsidRPr="00132314" w:rsidRDefault="00ED23EB" w:rsidP="00ED23EB">
      <w:pPr>
        <w:spacing w:before="100" w:beforeAutospacing="1" w:after="0"/>
        <w:jc w:val="both"/>
        <w:rPr>
          <w:rFonts w:ascii="Arial" w:eastAsia="Times New Roman" w:hAnsi="Arial" w:cs="Arial"/>
          <w:b/>
          <w:color w:val="1F1F1F"/>
          <w:sz w:val="18"/>
          <w:szCs w:val="18"/>
          <w:lang w:val="en-US" w:eastAsia="ru-RU"/>
        </w:rPr>
      </w:pPr>
      <w:r w:rsidRPr="00132314">
        <w:rPr>
          <w:rFonts w:ascii="Arial" w:eastAsia="Times New Roman" w:hAnsi="Arial" w:cs="Arial"/>
          <w:b/>
          <w:i/>
          <w:iCs/>
          <w:color w:val="1F1F1F"/>
          <w:sz w:val="18"/>
          <w:szCs w:val="18"/>
          <w:bdr w:val="none" w:sz="0" w:space="0" w:color="auto" w:frame="1"/>
          <w:lang w:val="en-US" w:eastAsia="ru-RU"/>
        </w:rPr>
        <w:t>Figure 2. Displacement contour map (U, Magnitude) at the peak loading phase.</w:t>
      </w:r>
    </w:p>
    <w:p w14:paraId="423BF1AF" w14:textId="77777777"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lastRenderedPageBreak/>
        <w:t>A critical aspect of the Abaqus/Explicit analysis is the monitoring of energy components to ensure numerical stability. The relationship between internal energy (ALLIE), kinetic energy (ALLKE), and strain energy (ALLSE) is analyzed throughout the simulation duration (Figure 3).</w:t>
      </w:r>
    </w:p>
    <w:p w14:paraId="10B38DAF" w14:textId="77777777" w:rsidR="001478D0" w:rsidRPr="00132314" w:rsidRDefault="001478D0" w:rsidP="00287F56">
      <w:pPr>
        <w:spacing w:before="100" w:beforeAutospacing="1" w:after="0"/>
        <w:jc w:val="center"/>
        <w:rPr>
          <w:rFonts w:ascii="Arial" w:eastAsia="Times New Roman" w:hAnsi="Arial" w:cs="Arial"/>
          <w:i/>
          <w:iCs/>
          <w:color w:val="1F1F1F"/>
          <w:sz w:val="18"/>
          <w:szCs w:val="18"/>
          <w:bdr w:val="none" w:sz="0" w:space="0" w:color="auto" w:frame="1"/>
          <w:lang w:val="en-US" w:eastAsia="ru-RU"/>
        </w:rPr>
      </w:pPr>
      <w:r w:rsidRPr="00132314">
        <w:rPr>
          <w:rFonts w:ascii="Arial" w:hAnsi="Arial" w:cs="Arial"/>
          <w:noProof/>
          <w:sz w:val="18"/>
          <w:szCs w:val="18"/>
          <w:lang w:eastAsia="ru-RU"/>
        </w:rPr>
        <w:drawing>
          <wp:inline distT="0" distB="0" distL="0" distR="0" wp14:anchorId="2782D12E" wp14:editId="1038710A">
            <wp:extent cx="3815255" cy="21596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brightnessContrast bright="20000" contrast="-40000"/>
                              </a14:imgEffect>
                            </a14:imgLayer>
                          </a14:imgProps>
                        </a:ext>
                      </a:extLst>
                    </a:blip>
                    <a:stretch>
                      <a:fillRect/>
                    </a:stretch>
                  </pic:blipFill>
                  <pic:spPr>
                    <a:xfrm>
                      <a:off x="0" y="0"/>
                      <a:ext cx="3819744" cy="2162176"/>
                    </a:xfrm>
                    <a:prstGeom prst="rect">
                      <a:avLst/>
                    </a:prstGeom>
                  </pic:spPr>
                </pic:pic>
              </a:graphicData>
            </a:graphic>
          </wp:inline>
        </w:drawing>
      </w:r>
    </w:p>
    <w:p w14:paraId="534F3483" w14:textId="77777777" w:rsidR="001478D0" w:rsidRPr="00132314" w:rsidRDefault="001478D0" w:rsidP="00287F56">
      <w:pPr>
        <w:spacing w:before="100" w:beforeAutospacing="1" w:after="0"/>
        <w:jc w:val="center"/>
        <w:rPr>
          <w:rFonts w:ascii="Arial" w:eastAsia="Times New Roman" w:hAnsi="Arial" w:cs="Arial"/>
          <w:i/>
          <w:iCs/>
          <w:color w:val="1F1F1F"/>
          <w:sz w:val="18"/>
          <w:szCs w:val="18"/>
          <w:bdr w:val="none" w:sz="0" w:space="0" w:color="auto" w:frame="1"/>
          <w:lang w:val="en-US" w:eastAsia="ru-RU"/>
        </w:rPr>
      </w:pPr>
      <w:r w:rsidRPr="00132314">
        <w:rPr>
          <w:rFonts w:ascii="Arial" w:hAnsi="Arial" w:cs="Arial"/>
          <w:noProof/>
          <w:sz w:val="18"/>
          <w:szCs w:val="18"/>
          <w:lang w:eastAsia="ru-RU"/>
        </w:rPr>
        <w:drawing>
          <wp:inline distT="0" distB="0" distL="0" distR="0" wp14:anchorId="66B366D8" wp14:editId="4428EB6F">
            <wp:extent cx="3831021" cy="21596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brightnessContrast bright="20000" contrast="-40000"/>
                              </a14:imgEffect>
                            </a14:imgLayer>
                          </a14:imgProps>
                        </a:ext>
                      </a:extLst>
                    </a:blip>
                    <a:stretch>
                      <a:fillRect/>
                    </a:stretch>
                  </pic:blipFill>
                  <pic:spPr>
                    <a:xfrm>
                      <a:off x="0" y="0"/>
                      <a:ext cx="3834727" cy="2161724"/>
                    </a:xfrm>
                    <a:prstGeom prst="rect">
                      <a:avLst/>
                    </a:prstGeom>
                  </pic:spPr>
                </pic:pic>
              </a:graphicData>
            </a:graphic>
          </wp:inline>
        </w:drawing>
      </w:r>
    </w:p>
    <w:p w14:paraId="2EAB1D37" w14:textId="77777777" w:rsidR="00287F56" w:rsidRPr="00132314" w:rsidRDefault="001478D0" w:rsidP="00287F56">
      <w:pPr>
        <w:spacing w:before="100" w:beforeAutospacing="1" w:after="0"/>
        <w:jc w:val="center"/>
        <w:rPr>
          <w:rFonts w:ascii="Arial" w:eastAsia="Times New Roman" w:hAnsi="Arial" w:cs="Arial"/>
          <w:i/>
          <w:iCs/>
          <w:color w:val="1F1F1F"/>
          <w:sz w:val="18"/>
          <w:szCs w:val="18"/>
          <w:bdr w:val="none" w:sz="0" w:space="0" w:color="auto" w:frame="1"/>
          <w:lang w:val="en-US" w:eastAsia="ru-RU"/>
        </w:rPr>
      </w:pPr>
      <w:r w:rsidRPr="00132314">
        <w:rPr>
          <w:rFonts w:ascii="Arial" w:hAnsi="Arial" w:cs="Arial"/>
          <w:noProof/>
          <w:sz w:val="18"/>
          <w:szCs w:val="18"/>
          <w:lang w:eastAsia="ru-RU"/>
        </w:rPr>
        <w:drawing>
          <wp:inline distT="0" distB="0" distL="0" distR="0" wp14:anchorId="623DFC81" wp14:editId="7D204A2B">
            <wp:extent cx="3804249" cy="215963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brightnessContrast bright="20000" contrast="-40000"/>
                              </a14:imgEffect>
                            </a14:imgLayer>
                          </a14:imgProps>
                        </a:ext>
                      </a:extLst>
                    </a:blip>
                    <a:stretch>
                      <a:fillRect/>
                    </a:stretch>
                  </pic:blipFill>
                  <pic:spPr>
                    <a:xfrm>
                      <a:off x="0" y="0"/>
                      <a:ext cx="3810820" cy="2163365"/>
                    </a:xfrm>
                    <a:prstGeom prst="rect">
                      <a:avLst/>
                    </a:prstGeom>
                  </pic:spPr>
                </pic:pic>
              </a:graphicData>
            </a:graphic>
          </wp:inline>
        </w:drawing>
      </w:r>
    </w:p>
    <w:p w14:paraId="209E5970" w14:textId="0FE71206" w:rsidR="00ED23EB" w:rsidRPr="00132314" w:rsidRDefault="00ED23EB" w:rsidP="00287F56">
      <w:pPr>
        <w:spacing w:before="100" w:beforeAutospacing="1" w:after="0"/>
        <w:jc w:val="center"/>
        <w:rPr>
          <w:rFonts w:ascii="Arial" w:eastAsia="Times New Roman" w:hAnsi="Arial" w:cs="Arial"/>
          <w:color w:val="1F1F1F"/>
          <w:sz w:val="18"/>
          <w:szCs w:val="18"/>
          <w:lang w:val="en-US" w:eastAsia="ru-RU"/>
        </w:rPr>
      </w:pPr>
      <w:r w:rsidRPr="00132314">
        <w:rPr>
          <w:rFonts w:ascii="Arial" w:eastAsia="Times New Roman" w:hAnsi="Arial" w:cs="Arial"/>
          <w:i/>
          <w:iCs/>
          <w:color w:val="1F1F1F"/>
          <w:sz w:val="18"/>
          <w:szCs w:val="18"/>
          <w:bdr w:val="none" w:sz="0" w:space="0" w:color="auto" w:frame="1"/>
          <w:lang w:val="en-US" w:eastAsia="ru-RU"/>
        </w:rPr>
        <w:t>Figure 3. Evolution of energy components (ALLIE, ALLKE, ALLSE) during the dynamic event.</w:t>
      </w:r>
    </w:p>
    <w:p w14:paraId="75D9DAFA" w14:textId="742663AA"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t>The total energy balance (ETOTAL) is observed to remain stable, indicating that no artificial energy is introduced into the system by the numerical solver. Furthermore, the ratio of kinetic energy to internal energy is maintained at a minimal level, confirming that the high-speed response is captured without significant inertial errors or numerical oscillations. This energy stability validates the precision of the automated Python-based modeling framework.</w:t>
      </w:r>
    </w:p>
    <w:p w14:paraId="7FCA55C2" w14:textId="76D9D54B" w:rsidR="00F800BF" w:rsidRPr="00132314" w:rsidRDefault="00F800BF"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hAnsi="Arial" w:cs="Arial"/>
          <w:sz w:val="18"/>
          <w:szCs w:val="18"/>
          <w:lang w:val="en-US"/>
        </w:rPr>
        <w:t xml:space="preserve">The total energy balance (ETOTAL) remains constant within a 1% variation throughout the dynamic event, indicating that no artificial energy is introduced into the system. The ratio of kinetic energy (ALLKE) to internal </w:t>
      </w:r>
      <w:r w:rsidRPr="00132314">
        <w:rPr>
          <w:rFonts w:ascii="Arial" w:hAnsi="Arial" w:cs="Arial"/>
          <w:sz w:val="18"/>
          <w:szCs w:val="18"/>
          <w:lang w:val="en-US"/>
        </w:rPr>
        <w:lastRenderedPageBreak/>
        <w:t>energy (ALLIE) is maintained at a minimal level, confirming that the high-speed response is captured without significant inertial errors or non-physical numerical oscillations.</w:t>
      </w:r>
    </w:p>
    <w:p w14:paraId="41B298FD" w14:textId="77777777" w:rsidR="00ED23EB" w:rsidRPr="00132314" w:rsidRDefault="00ED23EB" w:rsidP="00ED23EB">
      <w:pPr>
        <w:spacing w:before="100" w:beforeAutospacing="1" w:after="0"/>
        <w:jc w:val="both"/>
        <w:outlineLvl w:val="2"/>
        <w:rPr>
          <w:rFonts w:ascii="Arial" w:eastAsia="Times New Roman" w:hAnsi="Arial" w:cs="Arial"/>
          <w:b/>
          <w:bCs/>
          <w:color w:val="1F1F1F"/>
          <w:sz w:val="18"/>
          <w:szCs w:val="18"/>
          <w:lang w:val="en-US" w:eastAsia="ru-RU"/>
        </w:rPr>
      </w:pPr>
      <w:r w:rsidRPr="00132314">
        <w:rPr>
          <w:rFonts w:ascii="Arial" w:eastAsia="Times New Roman" w:hAnsi="Arial" w:cs="Arial"/>
          <w:b/>
          <w:bCs/>
          <w:color w:val="1F1F1F"/>
          <w:sz w:val="18"/>
          <w:szCs w:val="18"/>
          <w:bdr w:val="none" w:sz="0" w:space="0" w:color="auto" w:frame="1"/>
          <w:lang w:val="en-US" w:eastAsia="ru-RU"/>
        </w:rPr>
        <w:t>4. Conclusion</w:t>
      </w:r>
    </w:p>
    <w:p w14:paraId="7BA3F899" w14:textId="77777777" w:rsidR="00ED23EB" w:rsidRPr="00132314" w:rsidRDefault="00ED23EB" w:rsidP="00ED23EB">
      <w:pPr>
        <w:spacing w:before="100" w:beforeAutospacing="1" w:after="150"/>
        <w:jc w:val="both"/>
        <w:rPr>
          <w:rFonts w:ascii="Arial" w:eastAsia="Times New Roman" w:hAnsi="Arial" w:cs="Arial"/>
          <w:color w:val="1F1F1F"/>
          <w:sz w:val="18"/>
          <w:szCs w:val="18"/>
          <w:lang w:val="en-US" w:eastAsia="ru-RU"/>
        </w:rPr>
      </w:pPr>
      <w:r w:rsidRPr="00132314">
        <w:rPr>
          <w:rFonts w:ascii="Arial" w:eastAsia="Times New Roman" w:hAnsi="Arial" w:cs="Arial"/>
          <w:color w:val="1F1F1F"/>
          <w:sz w:val="18"/>
          <w:szCs w:val="18"/>
          <w:lang w:val="en-US" w:eastAsia="ru-RU"/>
        </w:rPr>
        <w:t>The integration of the Abaqus/Explicit solver with automated Python scripting provides a highly accurate and efficient methodology for predicting the mechanical response of steel cylindrical shells. The numerical results demonstrate that the structure can withstand a dynamic pressure of 100 MPa with a maximum stress of 108.3 MPa and minimal deformation. The energy balance analysis confirms the reliability of the model, proving its suitability for real-world industrial applications. This approach offers valuable data for the safety assessment of high-pressure piping systems and pressure vessels operating under impulsive loading scenarios.</w:t>
      </w:r>
    </w:p>
    <w:p w14:paraId="5C850BDA" w14:textId="77777777" w:rsidR="00ED23EB" w:rsidRPr="00132314" w:rsidRDefault="00ED23EB" w:rsidP="00ED23EB">
      <w:pPr>
        <w:spacing w:before="100" w:beforeAutospacing="1" w:after="0"/>
        <w:jc w:val="both"/>
        <w:outlineLvl w:val="2"/>
        <w:rPr>
          <w:rFonts w:ascii="Arial" w:eastAsia="Times New Roman" w:hAnsi="Arial" w:cs="Arial"/>
          <w:b/>
          <w:bCs/>
          <w:color w:val="1F1F1F"/>
          <w:sz w:val="18"/>
          <w:szCs w:val="18"/>
          <w:lang w:eastAsia="ru-RU"/>
        </w:rPr>
      </w:pPr>
      <w:r w:rsidRPr="00132314">
        <w:rPr>
          <w:rFonts w:ascii="Arial" w:eastAsia="Times New Roman" w:hAnsi="Arial" w:cs="Arial"/>
          <w:b/>
          <w:bCs/>
          <w:color w:val="1F1F1F"/>
          <w:sz w:val="18"/>
          <w:szCs w:val="18"/>
          <w:bdr w:val="none" w:sz="0" w:space="0" w:color="auto" w:frame="1"/>
          <w:lang w:eastAsia="ru-RU"/>
        </w:rPr>
        <w:t>5. References</w:t>
      </w:r>
    </w:p>
    <w:p w14:paraId="77249737" w14:textId="77777777" w:rsidR="00ED23EB" w:rsidRPr="00132314" w:rsidRDefault="00ED23EB" w:rsidP="00ED23EB">
      <w:pPr>
        <w:numPr>
          <w:ilvl w:val="0"/>
          <w:numId w:val="1"/>
        </w:numPr>
        <w:spacing w:before="100" w:beforeAutospacing="1" w:after="0"/>
        <w:ind w:left="0"/>
        <w:jc w:val="both"/>
        <w:rPr>
          <w:rFonts w:ascii="Arial" w:eastAsia="Times New Roman" w:hAnsi="Arial" w:cs="Arial"/>
          <w:color w:val="1F1F1F"/>
          <w:sz w:val="18"/>
          <w:szCs w:val="18"/>
          <w:lang w:val="en-US" w:eastAsia="ru-RU"/>
        </w:rPr>
      </w:pPr>
      <w:r w:rsidRPr="00132314">
        <w:rPr>
          <w:rFonts w:ascii="Arial" w:eastAsia="Times New Roman" w:hAnsi="Arial" w:cs="Arial"/>
          <w:b/>
          <w:bCs/>
          <w:color w:val="1F1F1F"/>
          <w:sz w:val="18"/>
          <w:szCs w:val="18"/>
          <w:bdr w:val="none" w:sz="0" w:space="0" w:color="auto" w:frame="1"/>
          <w:lang w:val="en-US" w:eastAsia="ru-RU"/>
        </w:rPr>
        <w:t>Dassault Systèmes.</w:t>
      </w:r>
      <w:r w:rsidRPr="00132314">
        <w:rPr>
          <w:rFonts w:ascii="Arial" w:eastAsia="Times New Roman" w:hAnsi="Arial" w:cs="Arial"/>
          <w:color w:val="1F1F1F"/>
          <w:sz w:val="18"/>
          <w:szCs w:val="18"/>
          <w:lang w:val="en-US" w:eastAsia="ru-RU"/>
        </w:rPr>
        <w:t xml:space="preserve"> (2024). </w:t>
      </w:r>
      <w:r w:rsidRPr="00132314">
        <w:rPr>
          <w:rFonts w:ascii="Arial" w:eastAsia="Times New Roman" w:hAnsi="Arial" w:cs="Arial"/>
          <w:i/>
          <w:iCs/>
          <w:color w:val="1F1F1F"/>
          <w:sz w:val="18"/>
          <w:szCs w:val="18"/>
          <w:bdr w:val="none" w:sz="0" w:space="0" w:color="auto" w:frame="1"/>
          <w:lang w:val="en-US" w:eastAsia="ru-RU"/>
        </w:rPr>
        <w:t>Abaqus Analysis User's Guide (v.2024)</w:t>
      </w:r>
      <w:r w:rsidRPr="00132314">
        <w:rPr>
          <w:rFonts w:ascii="Arial" w:eastAsia="Times New Roman" w:hAnsi="Arial" w:cs="Arial"/>
          <w:color w:val="1F1F1F"/>
          <w:sz w:val="18"/>
          <w:szCs w:val="18"/>
          <w:lang w:val="en-US" w:eastAsia="ru-RU"/>
        </w:rPr>
        <w:t>.</w:t>
      </w:r>
    </w:p>
    <w:p w14:paraId="51C9FDD5" w14:textId="77777777" w:rsidR="00ED23EB" w:rsidRPr="00132314" w:rsidRDefault="00ED23EB" w:rsidP="00ED23EB">
      <w:pPr>
        <w:numPr>
          <w:ilvl w:val="0"/>
          <w:numId w:val="1"/>
        </w:numPr>
        <w:spacing w:before="100" w:beforeAutospacing="1" w:after="0"/>
        <w:ind w:left="0"/>
        <w:jc w:val="both"/>
        <w:rPr>
          <w:rFonts w:ascii="Arial" w:eastAsia="Times New Roman" w:hAnsi="Arial" w:cs="Arial"/>
          <w:color w:val="1F1F1F"/>
          <w:sz w:val="18"/>
          <w:szCs w:val="18"/>
          <w:lang w:eastAsia="ru-RU"/>
        </w:rPr>
      </w:pPr>
      <w:r w:rsidRPr="00132314">
        <w:rPr>
          <w:rFonts w:ascii="Arial" w:eastAsia="Times New Roman" w:hAnsi="Arial" w:cs="Arial"/>
          <w:b/>
          <w:bCs/>
          <w:color w:val="1F1F1F"/>
          <w:sz w:val="18"/>
          <w:szCs w:val="18"/>
          <w:bdr w:val="none" w:sz="0" w:space="0" w:color="auto" w:frame="1"/>
          <w:lang w:val="en-US" w:eastAsia="ru-RU"/>
        </w:rPr>
        <w:t>Safarov, I. I., et al.</w:t>
      </w:r>
      <w:r w:rsidRPr="00132314">
        <w:rPr>
          <w:rFonts w:ascii="Arial" w:eastAsia="Times New Roman" w:hAnsi="Arial" w:cs="Arial"/>
          <w:color w:val="1F1F1F"/>
          <w:sz w:val="18"/>
          <w:szCs w:val="18"/>
          <w:lang w:val="en-US" w:eastAsia="ru-RU"/>
        </w:rPr>
        <w:t xml:space="preserve"> (2024). Numerical modeling of stress-strain state in complex structures. </w:t>
      </w:r>
      <w:r w:rsidRPr="00132314">
        <w:rPr>
          <w:rFonts w:ascii="Arial" w:eastAsia="Times New Roman" w:hAnsi="Arial" w:cs="Arial"/>
          <w:i/>
          <w:iCs/>
          <w:color w:val="1F1F1F"/>
          <w:sz w:val="18"/>
          <w:szCs w:val="18"/>
          <w:bdr w:val="none" w:sz="0" w:space="0" w:color="auto" w:frame="1"/>
          <w:lang w:eastAsia="ru-RU"/>
        </w:rPr>
        <w:t>Journal of Applied Mechanics</w:t>
      </w:r>
      <w:r w:rsidRPr="00132314">
        <w:rPr>
          <w:rFonts w:ascii="Arial" w:eastAsia="Times New Roman" w:hAnsi="Arial" w:cs="Arial"/>
          <w:color w:val="1F1F1F"/>
          <w:sz w:val="18"/>
          <w:szCs w:val="18"/>
          <w:lang w:eastAsia="ru-RU"/>
        </w:rPr>
        <w:t>.</w:t>
      </w:r>
    </w:p>
    <w:p w14:paraId="4D1BC119" w14:textId="77777777" w:rsidR="00ED23EB" w:rsidRPr="00132314" w:rsidRDefault="00ED23EB" w:rsidP="00ED23EB">
      <w:pPr>
        <w:numPr>
          <w:ilvl w:val="0"/>
          <w:numId w:val="1"/>
        </w:numPr>
        <w:spacing w:before="100" w:beforeAutospacing="1" w:after="0"/>
        <w:ind w:left="0"/>
        <w:jc w:val="both"/>
        <w:rPr>
          <w:rFonts w:ascii="Arial" w:eastAsia="Times New Roman" w:hAnsi="Arial" w:cs="Arial"/>
          <w:color w:val="1F1F1F"/>
          <w:sz w:val="18"/>
          <w:szCs w:val="18"/>
          <w:lang w:eastAsia="ru-RU"/>
        </w:rPr>
      </w:pPr>
      <w:r w:rsidRPr="00132314">
        <w:rPr>
          <w:rFonts w:ascii="Arial" w:eastAsia="Times New Roman" w:hAnsi="Arial" w:cs="Arial"/>
          <w:b/>
          <w:bCs/>
          <w:color w:val="1F1F1F"/>
          <w:sz w:val="18"/>
          <w:szCs w:val="18"/>
          <w:bdr w:val="none" w:sz="0" w:space="0" w:color="auto" w:frame="1"/>
          <w:lang w:val="en-US" w:eastAsia="ru-RU"/>
        </w:rPr>
        <w:t>Reddy, J. N.</w:t>
      </w:r>
      <w:r w:rsidRPr="00132314">
        <w:rPr>
          <w:rFonts w:ascii="Arial" w:eastAsia="Times New Roman" w:hAnsi="Arial" w:cs="Arial"/>
          <w:color w:val="1F1F1F"/>
          <w:sz w:val="18"/>
          <w:szCs w:val="18"/>
          <w:lang w:val="en-US" w:eastAsia="ru-RU"/>
        </w:rPr>
        <w:t xml:space="preserve"> (2004). </w:t>
      </w:r>
      <w:r w:rsidRPr="00132314">
        <w:rPr>
          <w:rFonts w:ascii="Arial" w:eastAsia="Times New Roman" w:hAnsi="Arial" w:cs="Arial"/>
          <w:i/>
          <w:iCs/>
          <w:color w:val="1F1F1F"/>
          <w:sz w:val="18"/>
          <w:szCs w:val="18"/>
          <w:bdr w:val="none" w:sz="0" w:space="0" w:color="auto" w:frame="1"/>
          <w:lang w:val="en-US" w:eastAsia="ru-RU"/>
        </w:rPr>
        <w:t>Mechanics of Laminated Composite Plates and Shells</w:t>
      </w:r>
      <w:r w:rsidRPr="00132314">
        <w:rPr>
          <w:rFonts w:ascii="Arial" w:eastAsia="Times New Roman" w:hAnsi="Arial" w:cs="Arial"/>
          <w:color w:val="1F1F1F"/>
          <w:sz w:val="18"/>
          <w:szCs w:val="18"/>
          <w:lang w:val="en-US" w:eastAsia="ru-RU"/>
        </w:rPr>
        <w:t xml:space="preserve">. </w:t>
      </w:r>
      <w:r w:rsidRPr="00132314">
        <w:rPr>
          <w:rFonts w:ascii="Arial" w:eastAsia="Times New Roman" w:hAnsi="Arial" w:cs="Arial"/>
          <w:color w:val="1F1F1F"/>
          <w:sz w:val="18"/>
          <w:szCs w:val="18"/>
          <w:lang w:eastAsia="ru-RU"/>
        </w:rPr>
        <w:t>CRC Press.</w:t>
      </w:r>
    </w:p>
    <w:p w14:paraId="3CCBCB6D" w14:textId="77777777" w:rsidR="00ED23EB" w:rsidRPr="00132314" w:rsidRDefault="00ED23EB" w:rsidP="00ED23EB">
      <w:pPr>
        <w:numPr>
          <w:ilvl w:val="0"/>
          <w:numId w:val="1"/>
        </w:numPr>
        <w:spacing w:before="100" w:beforeAutospacing="1" w:after="0"/>
        <w:ind w:left="0"/>
        <w:jc w:val="both"/>
        <w:rPr>
          <w:rFonts w:ascii="Arial" w:eastAsia="Times New Roman" w:hAnsi="Arial" w:cs="Arial"/>
          <w:color w:val="1F1F1F"/>
          <w:sz w:val="18"/>
          <w:szCs w:val="18"/>
          <w:lang w:eastAsia="ru-RU"/>
        </w:rPr>
      </w:pPr>
      <w:r w:rsidRPr="00132314">
        <w:rPr>
          <w:rFonts w:ascii="Arial" w:eastAsia="Times New Roman" w:hAnsi="Arial" w:cs="Arial"/>
          <w:b/>
          <w:bCs/>
          <w:color w:val="1F1F1F"/>
          <w:sz w:val="18"/>
          <w:szCs w:val="18"/>
          <w:bdr w:val="none" w:sz="0" w:space="0" w:color="auto" w:frame="1"/>
          <w:lang w:val="en-US" w:eastAsia="ru-RU"/>
        </w:rPr>
        <w:t>Belytschko, T., et al.</w:t>
      </w:r>
      <w:r w:rsidRPr="00132314">
        <w:rPr>
          <w:rFonts w:ascii="Arial" w:eastAsia="Times New Roman" w:hAnsi="Arial" w:cs="Arial"/>
          <w:color w:val="1F1F1F"/>
          <w:sz w:val="18"/>
          <w:szCs w:val="18"/>
          <w:lang w:val="en-US" w:eastAsia="ru-RU"/>
        </w:rPr>
        <w:t xml:space="preserve"> (2014). </w:t>
      </w:r>
      <w:r w:rsidRPr="00132314">
        <w:rPr>
          <w:rFonts w:ascii="Arial" w:eastAsia="Times New Roman" w:hAnsi="Arial" w:cs="Arial"/>
          <w:i/>
          <w:iCs/>
          <w:color w:val="1F1F1F"/>
          <w:sz w:val="18"/>
          <w:szCs w:val="18"/>
          <w:bdr w:val="none" w:sz="0" w:space="0" w:color="auto" w:frame="1"/>
          <w:lang w:val="en-US" w:eastAsia="ru-RU"/>
        </w:rPr>
        <w:t>Nonlinear Finite Elements for Continua and Structures</w:t>
      </w:r>
      <w:r w:rsidRPr="00132314">
        <w:rPr>
          <w:rFonts w:ascii="Arial" w:eastAsia="Times New Roman" w:hAnsi="Arial" w:cs="Arial"/>
          <w:color w:val="1F1F1F"/>
          <w:sz w:val="18"/>
          <w:szCs w:val="18"/>
          <w:lang w:val="en-US" w:eastAsia="ru-RU"/>
        </w:rPr>
        <w:t xml:space="preserve">. </w:t>
      </w:r>
      <w:r w:rsidRPr="00132314">
        <w:rPr>
          <w:rFonts w:ascii="Arial" w:eastAsia="Times New Roman" w:hAnsi="Arial" w:cs="Arial"/>
          <w:color w:val="1F1F1F"/>
          <w:sz w:val="18"/>
          <w:szCs w:val="18"/>
          <w:lang w:eastAsia="ru-RU"/>
        </w:rPr>
        <w:t>Wiley.</w:t>
      </w:r>
    </w:p>
    <w:p w14:paraId="33CECEA1" w14:textId="77777777" w:rsidR="000531A0" w:rsidRPr="00132314" w:rsidRDefault="000531A0" w:rsidP="00ED23EB">
      <w:pPr>
        <w:numPr>
          <w:ilvl w:val="0"/>
          <w:numId w:val="1"/>
        </w:numPr>
        <w:spacing w:before="100" w:beforeAutospacing="1" w:after="0"/>
        <w:ind w:left="0"/>
        <w:jc w:val="both"/>
        <w:rPr>
          <w:rFonts w:ascii="Arial" w:eastAsia="Times New Roman" w:hAnsi="Arial" w:cs="Arial"/>
          <w:color w:val="1F1F1F"/>
          <w:sz w:val="18"/>
          <w:szCs w:val="18"/>
          <w:lang w:val="en-US" w:eastAsia="ru-RU"/>
        </w:rPr>
      </w:pPr>
      <w:r w:rsidRPr="00132314">
        <w:rPr>
          <w:rFonts w:ascii="Arial" w:hAnsi="Arial" w:cs="Arial"/>
          <w:b/>
          <w:sz w:val="18"/>
          <w:szCs w:val="18"/>
          <w:lang w:val="en-US"/>
        </w:rPr>
        <w:t>Rakhmanov B., Akhmedov Sh., Karimov I., Choriev M., Uralov U</w:t>
      </w:r>
      <w:r w:rsidRPr="00132314">
        <w:rPr>
          <w:rFonts w:ascii="Arial" w:hAnsi="Arial" w:cs="Arial"/>
          <w:sz w:val="18"/>
          <w:szCs w:val="18"/>
          <w:lang w:val="en-US"/>
        </w:rPr>
        <w:t xml:space="preserve">. Non-axisymmetric problems of unsteady deformation of cylindrical shells with filler. E3S Web of Conferences, 2023, 419: 01001. </w:t>
      </w:r>
      <w:hyperlink r:id="rId68" w:tgtFrame="_blank" w:history="1">
        <w:r w:rsidRPr="00132314">
          <w:rPr>
            <w:rFonts w:ascii="Arial" w:hAnsi="Arial" w:cs="Arial"/>
            <w:color w:val="0000FF"/>
            <w:sz w:val="18"/>
            <w:szCs w:val="18"/>
            <w:u w:val="single"/>
            <w:lang w:val="en-US"/>
          </w:rPr>
          <w:t>https://doi.org/10.1051/e3sconf/202341901001</w:t>
        </w:r>
      </w:hyperlink>
    </w:p>
    <w:p w14:paraId="6F1A55CA" w14:textId="07ABA3E1" w:rsidR="00D57F0A" w:rsidRPr="00132314" w:rsidRDefault="00D57F0A" w:rsidP="00ED23EB">
      <w:pPr>
        <w:numPr>
          <w:ilvl w:val="0"/>
          <w:numId w:val="1"/>
        </w:numPr>
        <w:spacing w:before="100" w:beforeAutospacing="1" w:after="0"/>
        <w:ind w:left="0"/>
        <w:jc w:val="both"/>
        <w:rPr>
          <w:rFonts w:ascii="Arial" w:eastAsia="Times New Roman" w:hAnsi="Arial" w:cs="Arial"/>
          <w:color w:val="1F1F1F"/>
          <w:sz w:val="18"/>
          <w:szCs w:val="18"/>
          <w:lang w:val="en-US" w:eastAsia="ru-RU"/>
        </w:rPr>
      </w:pPr>
      <w:r w:rsidRPr="00132314">
        <w:rPr>
          <w:rFonts w:ascii="Arial" w:hAnsi="Arial" w:cs="Arial"/>
          <w:b/>
          <w:bCs/>
          <w:sz w:val="18"/>
          <w:szCs w:val="18"/>
          <w:lang w:val="en-US"/>
        </w:rPr>
        <w:t xml:space="preserve">Boltayev, Z. I., </w:t>
      </w:r>
      <w:proofErr w:type="gramStart"/>
      <w:r w:rsidRPr="00132314">
        <w:rPr>
          <w:rFonts w:ascii="Arial" w:hAnsi="Arial" w:cs="Arial"/>
          <w:b/>
          <w:bCs/>
          <w:sz w:val="18"/>
          <w:szCs w:val="18"/>
          <w:lang w:val="en-US"/>
        </w:rPr>
        <w:t>Ro‘</w:t>
      </w:r>
      <w:proofErr w:type="gramEnd"/>
      <w:r w:rsidRPr="00132314">
        <w:rPr>
          <w:rFonts w:ascii="Arial" w:hAnsi="Arial" w:cs="Arial"/>
          <w:b/>
          <w:bCs/>
          <w:sz w:val="18"/>
          <w:szCs w:val="18"/>
          <w:lang w:val="en-US"/>
        </w:rPr>
        <w:t>ziyev, T. R.,</w:t>
      </w:r>
      <w:r w:rsidR="00494A75" w:rsidRPr="00132314">
        <w:rPr>
          <w:rFonts w:ascii="Arial" w:hAnsi="Arial" w:cs="Arial"/>
          <w:b/>
          <w:bCs/>
          <w:sz w:val="18"/>
          <w:szCs w:val="18"/>
          <w:lang w:val="en-US"/>
        </w:rPr>
        <w:t xml:space="preserve"> </w:t>
      </w:r>
      <w:r w:rsidR="00494A75" w:rsidRPr="00132314">
        <w:rPr>
          <w:rFonts w:ascii="Arial" w:hAnsi="Arial" w:cs="Arial"/>
          <w:b/>
          <w:sz w:val="18"/>
          <w:szCs w:val="18"/>
          <w:lang w:val="en-US"/>
        </w:rPr>
        <w:t>Urolov U.A.,</w:t>
      </w:r>
      <w:r w:rsidRPr="00132314">
        <w:rPr>
          <w:rFonts w:ascii="Arial" w:hAnsi="Arial" w:cs="Arial"/>
          <w:b/>
          <w:bCs/>
          <w:sz w:val="18"/>
          <w:szCs w:val="18"/>
          <w:lang w:val="en-US"/>
        </w:rPr>
        <w:t xml:space="preserve"> &amp; Shomurodov, N. A.</w:t>
      </w:r>
      <w:r w:rsidRPr="00132314">
        <w:rPr>
          <w:rFonts w:ascii="Arial" w:hAnsi="Arial" w:cs="Arial"/>
          <w:sz w:val="18"/>
          <w:szCs w:val="18"/>
          <w:lang w:val="en-US"/>
        </w:rPr>
        <w:t xml:space="preserve"> (2026). Deformation state of elastic plates under impact loading. </w:t>
      </w:r>
      <w:r w:rsidRPr="00132314">
        <w:rPr>
          <w:rFonts w:ascii="Arial" w:hAnsi="Arial" w:cs="Arial"/>
          <w:i/>
          <w:iCs/>
          <w:sz w:val="18"/>
          <w:szCs w:val="18"/>
          <w:lang w:val="en-US"/>
        </w:rPr>
        <w:t>Scientific Reports of Bukhara State University</w:t>
      </w:r>
      <w:r w:rsidRPr="00132314">
        <w:rPr>
          <w:rFonts w:ascii="Arial" w:hAnsi="Arial" w:cs="Arial"/>
          <w:sz w:val="18"/>
          <w:szCs w:val="18"/>
          <w:lang w:val="en-US"/>
        </w:rPr>
        <w:t>.</w:t>
      </w:r>
    </w:p>
    <w:p w14:paraId="5EBAAE47" w14:textId="3ABCB4D5" w:rsidR="000531A0" w:rsidRPr="00132314" w:rsidRDefault="000531A0" w:rsidP="00ED23EB">
      <w:pPr>
        <w:numPr>
          <w:ilvl w:val="0"/>
          <w:numId w:val="1"/>
        </w:numPr>
        <w:spacing w:before="100" w:beforeAutospacing="1" w:after="0"/>
        <w:ind w:left="0"/>
        <w:jc w:val="both"/>
        <w:rPr>
          <w:rFonts w:ascii="Arial" w:eastAsia="Times New Roman" w:hAnsi="Arial" w:cs="Arial"/>
          <w:color w:val="1F1F1F"/>
          <w:sz w:val="18"/>
          <w:szCs w:val="18"/>
          <w:lang w:val="en-US" w:eastAsia="ru-RU"/>
        </w:rPr>
      </w:pPr>
      <w:r w:rsidRPr="00132314">
        <w:rPr>
          <w:rFonts w:ascii="Arial" w:hAnsi="Arial" w:cs="Arial"/>
          <w:b/>
          <w:sz w:val="18"/>
          <w:szCs w:val="18"/>
          <w:lang w:val="en-US"/>
        </w:rPr>
        <w:t>Urolov U., Choriev M., Eliboyev N., Umirov S.</w:t>
      </w:r>
      <w:r w:rsidRPr="00132314">
        <w:rPr>
          <w:rFonts w:ascii="Arial" w:hAnsi="Arial" w:cs="Arial"/>
          <w:sz w:val="18"/>
          <w:szCs w:val="18"/>
          <w:lang w:val="en-US"/>
        </w:rPr>
        <w:t xml:space="preserve"> Checking the strength of reinforced concrete structures. Science and Innovation, 2024, 3(A10): 148–152.</w:t>
      </w:r>
    </w:p>
    <w:p w14:paraId="7AA73B58" w14:textId="3977ECB4" w:rsidR="00ED23EB" w:rsidRPr="00132314" w:rsidRDefault="00494A75" w:rsidP="000531A0">
      <w:pPr>
        <w:numPr>
          <w:ilvl w:val="0"/>
          <w:numId w:val="1"/>
        </w:numPr>
        <w:spacing w:before="100" w:beforeAutospacing="1" w:after="0"/>
        <w:ind w:left="0"/>
        <w:jc w:val="both"/>
        <w:rPr>
          <w:rFonts w:ascii="Arial" w:eastAsia="Times New Roman" w:hAnsi="Arial" w:cs="Arial"/>
          <w:color w:val="1F1F1F"/>
          <w:sz w:val="18"/>
          <w:szCs w:val="18"/>
          <w:lang w:eastAsia="ru-RU"/>
        </w:rPr>
      </w:pPr>
      <w:r w:rsidRPr="00132314">
        <w:rPr>
          <w:rFonts w:ascii="Arial" w:hAnsi="Arial" w:cs="Arial"/>
          <w:b/>
          <w:bCs/>
          <w:sz w:val="18"/>
          <w:szCs w:val="18"/>
          <w:lang w:val="en-US"/>
        </w:rPr>
        <w:t>Karimov</w:t>
      </w:r>
      <w:r w:rsidR="00D57F0A" w:rsidRPr="00132314">
        <w:rPr>
          <w:rFonts w:ascii="Arial" w:hAnsi="Arial" w:cs="Arial"/>
          <w:b/>
          <w:bCs/>
          <w:sz w:val="18"/>
          <w:szCs w:val="18"/>
          <w:lang w:val="en-US"/>
        </w:rPr>
        <w:t xml:space="preserve"> I. M.</w:t>
      </w:r>
      <w:r w:rsidRPr="00132314">
        <w:rPr>
          <w:rFonts w:ascii="Arial" w:hAnsi="Arial" w:cs="Arial"/>
          <w:b/>
          <w:bCs/>
          <w:sz w:val="18"/>
          <w:szCs w:val="18"/>
          <w:lang w:val="en-US"/>
        </w:rPr>
        <w:t xml:space="preserve">, </w:t>
      </w:r>
      <w:r w:rsidRPr="00132314">
        <w:rPr>
          <w:rFonts w:ascii="Arial" w:hAnsi="Arial" w:cs="Arial"/>
          <w:b/>
          <w:sz w:val="18"/>
          <w:szCs w:val="18"/>
          <w:lang w:val="en-US"/>
        </w:rPr>
        <w:t xml:space="preserve">Urolov U.A. </w:t>
      </w:r>
      <w:r w:rsidR="00D57F0A" w:rsidRPr="00132314">
        <w:rPr>
          <w:rFonts w:ascii="Arial" w:hAnsi="Arial" w:cs="Arial"/>
          <w:sz w:val="18"/>
          <w:szCs w:val="18"/>
          <w:lang w:val="en-US"/>
        </w:rPr>
        <w:t xml:space="preserve"> (2025). High-velocity impact of a steel ball on a two-layer plate. </w:t>
      </w:r>
      <w:r w:rsidR="00D57F0A" w:rsidRPr="00132314">
        <w:rPr>
          <w:rFonts w:ascii="Arial" w:hAnsi="Arial" w:cs="Arial"/>
          <w:i/>
          <w:iCs/>
          <w:sz w:val="18"/>
          <w:szCs w:val="18"/>
        </w:rPr>
        <w:t>Theoretical &amp; Applied Science</w:t>
      </w:r>
      <w:r w:rsidR="00D57F0A" w:rsidRPr="00132314">
        <w:rPr>
          <w:rFonts w:ascii="Arial" w:hAnsi="Arial" w:cs="Arial"/>
          <w:sz w:val="18"/>
          <w:szCs w:val="18"/>
        </w:rPr>
        <w:t>.</w:t>
      </w:r>
    </w:p>
    <w:sectPr w:rsidR="00ED23EB" w:rsidRPr="00132314" w:rsidSect="00287F56">
      <w:pgSz w:w="11906" w:h="16838" w:code="9"/>
      <w:pgMar w:top="851"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084E"/>
    <w:multiLevelType w:val="multilevel"/>
    <w:tmpl w:val="7BC81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36A4F"/>
    <w:multiLevelType w:val="multilevel"/>
    <w:tmpl w:val="4B26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112B6B"/>
    <w:multiLevelType w:val="multilevel"/>
    <w:tmpl w:val="A9CA1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80598E"/>
    <w:multiLevelType w:val="multilevel"/>
    <w:tmpl w:val="A5E8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05640E"/>
    <w:multiLevelType w:val="multilevel"/>
    <w:tmpl w:val="51EC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EB"/>
    <w:rsid w:val="000531A0"/>
    <w:rsid w:val="000D5A05"/>
    <w:rsid w:val="00132314"/>
    <w:rsid w:val="001478D0"/>
    <w:rsid w:val="00287F56"/>
    <w:rsid w:val="00427784"/>
    <w:rsid w:val="00494A75"/>
    <w:rsid w:val="006C0B77"/>
    <w:rsid w:val="008242FF"/>
    <w:rsid w:val="00870751"/>
    <w:rsid w:val="00922C48"/>
    <w:rsid w:val="00A86F58"/>
    <w:rsid w:val="00B44C7C"/>
    <w:rsid w:val="00B87C60"/>
    <w:rsid w:val="00B915B7"/>
    <w:rsid w:val="00D57F0A"/>
    <w:rsid w:val="00EA59DF"/>
    <w:rsid w:val="00ED23EB"/>
    <w:rsid w:val="00EE336B"/>
    <w:rsid w:val="00EE4070"/>
    <w:rsid w:val="00F12C76"/>
    <w:rsid w:val="00F800BF"/>
    <w:rsid w:val="00FD5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BFFE"/>
  <w15:chartTrackingRefBased/>
  <w15:docId w15:val="{762BA44B-80D6-44E1-A95D-3BB3BE3B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ED23EB"/>
    <w:pPr>
      <w:spacing w:before="100" w:beforeAutospacing="1" w:after="100" w:afterAutospacing="1"/>
      <w:outlineLvl w:val="0"/>
    </w:pPr>
    <w:rPr>
      <w:rFonts w:eastAsia="Times New Roman" w:cs="Times New Roman"/>
      <w:b/>
      <w:bCs/>
      <w:kern w:val="36"/>
      <w:sz w:val="48"/>
      <w:szCs w:val="48"/>
      <w:lang w:eastAsia="ru-RU"/>
    </w:rPr>
  </w:style>
  <w:style w:type="paragraph" w:styleId="3">
    <w:name w:val="heading 3"/>
    <w:basedOn w:val="a"/>
    <w:link w:val="30"/>
    <w:uiPriority w:val="9"/>
    <w:qFormat/>
    <w:rsid w:val="00ED23EB"/>
    <w:pPr>
      <w:spacing w:before="100" w:beforeAutospacing="1" w:after="100" w:afterAutospacing="1"/>
      <w:outlineLvl w:val="2"/>
    </w:pPr>
    <w:rPr>
      <w:rFonts w:eastAsia="Times New Roman" w:cs="Times New Roman"/>
      <w:b/>
      <w:bCs/>
      <w:sz w:val="27"/>
      <w:szCs w:val="27"/>
      <w:lang w:eastAsia="ru-RU"/>
    </w:rPr>
  </w:style>
  <w:style w:type="paragraph" w:styleId="4">
    <w:name w:val="heading 4"/>
    <w:basedOn w:val="a"/>
    <w:link w:val="40"/>
    <w:uiPriority w:val="9"/>
    <w:qFormat/>
    <w:rsid w:val="00ED23EB"/>
    <w:pPr>
      <w:spacing w:before="100" w:beforeAutospacing="1" w:after="100" w:afterAutospacing="1"/>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23E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ED23E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D23EB"/>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ED23EB"/>
    <w:pPr>
      <w:spacing w:before="100" w:beforeAutospacing="1" w:after="100" w:afterAutospacing="1"/>
    </w:pPr>
    <w:rPr>
      <w:rFonts w:eastAsia="Times New Roman" w:cs="Times New Roman"/>
      <w:sz w:val="24"/>
      <w:szCs w:val="24"/>
      <w:lang w:eastAsia="ru-RU"/>
    </w:rPr>
  </w:style>
  <w:style w:type="character" w:customStyle="1" w:styleId="math-inline">
    <w:name w:val="math-inline"/>
    <w:basedOn w:val="a0"/>
    <w:rsid w:val="00ED23EB"/>
  </w:style>
  <w:style w:type="character" w:styleId="HTML">
    <w:name w:val="HTML Code"/>
    <w:basedOn w:val="a0"/>
    <w:uiPriority w:val="99"/>
    <w:semiHidden/>
    <w:unhideWhenUsed/>
    <w:rsid w:val="00ED23EB"/>
    <w:rPr>
      <w:rFonts w:ascii="Courier New" w:eastAsia="Times New Roman" w:hAnsi="Courier New" w:cs="Courier New"/>
      <w:sz w:val="20"/>
      <w:szCs w:val="20"/>
    </w:rPr>
  </w:style>
  <w:style w:type="character" w:styleId="a4">
    <w:name w:val="Hyperlink"/>
    <w:basedOn w:val="a0"/>
    <w:uiPriority w:val="99"/>
    <w:unhideWhenUsed/>
    <w:rsid w:val="00ED23EB"/>
    <w:rPr>
      <w:color w:val="0563C1" w:themeColor="hyperlink"/>
      <w:u w:val="single"/>
    </w:rPr>
  </w:style>
  <w:style w:type="paragraph" w:customStyle="1" w:styleId="MTDisplayEquation">
    <w:name w:val="MTDisplayEquation"/>
    <w:basedOn w:val="a"/>
    <w:next w:val="a"/>
    <w:link w:val="MTDisplayEquation0"/>
    <w:rsid w:val="00ED23EB"/>
    <w:pPr>
      <w:tabs>
        <w:tab w:val="center" w:pos="4400"/>
        <w:tab w:val="right" w:pos="8780"/>
      </w:tabs>
      <w:spacing w:before="100" w:beforeAutospacing="1" w:after="100" w:afterAutospacing="1"/>
    </w:pPr>
    <w:rPr>
      <w:rFonts w:eastAsia="Times New Roman" w:cs="Times New Roman"/>
      <w:sz w:val="24"/>
      <w:szCs w:val="24"/>
      <w:lang w:val="en-US" w:eastAsia="ru-RU"/>
    </w:rPr>
  </w:style>
  <w:style w:type="character" w:customStyle="1" w:styleId="MTDisplayEquation0">
    <w:name w:val="MTDisplayEquation Знак"/>
    <w:basedOn w:val="a0"/>
    <w:link w:val="MTDisplayEquation"/>
    <w:rsid w:val="00ED23EB"/>
    <w:rPr>
      <w:rFonts w:ascii="Times New Roman" w:eastAsia="Times New Roman" w:hAnsi="Times New Roman" w:cs="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261718">
      <w:bodyDiv w:val="1"/>
      <w:marLeft w:val="0"/>
      <w:marRight w:val="0"/>
      <w:marTop w:val="0"/>
      <w:marBottom w:val="0"/>
      <w:divBdr>
        <w:top w:val="none" w:sz="0" w:space="0" w:color="auto"/>
        <w:left w:val="none" w:sz="0" w:space="0" w:color="auto"/>
        <w:bottom w:val="none" w:sz="0" w:space="0" w:color="auto"/>
        <w:right w:val="none" w:sz="0" w:space="0" w:color="auto"/>
      </w:divBdr>
    </w:div>
    <w:div w:id="684021566">
      <w:bodyDiv w:val="1"/>
      <w:marLeft w:val="0"/>
      <w:marRight w:val="0"/>
      <w:marTop w:val="0"/>
      <w:marBottom w:val="0"/>
      <w:divBdr>
        <w:top w:val="none" w:sz="0" w:space="0" w:color="auto"/>
        <w:left w:val="none" w:sz="0" w:space="0" w:color="auto"/>
        <w:bottom w:val="none" w:sz="0" w:space="0" w:color="auto"/>
        <w:right w:val="none" w:sz="0" w:space="0" w:color="auto"/>
      </w:divBdr>
      <w:divsChild>
        <w:div w:id="1604993049">
          <w:marLeft w:val="0"/>
          <w:marRight w:val="0"/>
          <w:marTop w:val="0"/>
          <w:marBottom w:val="0"/>
          <w:divBdr>
            <w:top w:val="none" w:sz="0" w:space="0" w:color="auto"/>
            <w:left w:val="none" w:sz="0" w:space="0" w:color="auto"/>
            <w:bottom w:val="none" w:sz="0" w:space="0" w:color="auto"/>
            <w:right w:val="none" w:sz="0" w:space="0" w:color="auto"/>
          </w:divBdr>
          <w:divsChild>
            <w:div w:id="1678311857">
              <w:marLeft w:val="0"/>
              <w:marRight w:val="0"/>
              <w:marTop w:val="0"/>
              <w:marBottom w:val="0"/>
              <w:divBdr>
                <w:top w:val="none" w:sz="0" w:space="0" w:color="auto"/>
                <w:left w:val="none" w:sz="0" w:space="0" w:color="auto"/>
                <w:bottom w:val="none" w:sz="0" w:space="0" w:color="auto"/>
                <w:right w:val="none" w:sz="0" w:space="0" w:color="auto"/>
              </w:divBdr>
            </w:div>
          </w:divsChild>
        </w:div>
        <w:div w:id="1497960901">
          <w:marLeft w:val="0"/>
          <w:marRight w:val="0"/>
          <w:marTop w:val="0"/>
          <w:marBottom w:val="0"/>
          <w:divBdr>
            <w:top w:val="none" w:sz="0" w:space="0" w:color="auto"/>
            <w:left w:val="none" w:sz="0" w:space="0" w:color="auto"/>
            <w:bottom w:val="none" w:sz="0" w:space="0" w:color="auto"/>
            <w:right w:val="none" w:sz="0" w:space="0" w:color="auto"/>
          </w:divBdr>
          <w:divsChild>
            <w:div w:id="1163934366">
              <w:marLeft w:val="0"/>
              <w:marRight w:val="0"/>
              <w:marTop w:val="0"/>
              <w:marBottom w:val="0"/>
              <w:divBdr>
                <w:top w:val="none" w:sz="0" w:space="0" w:color="auto"/>
                <w:left w:val="none" w:sz="0" w:space="0" w:color="auto"/>
                <w:bottom w:val="none" w:sz="0" w:space="0" w:color="auto"/>
                <w:right w:val="none" w:sz="0" w:space="0" w:color="auto"/>
              </w:divBdr>
            </w:div>
          </w:divsChild>
        </w:div>
        <w:div w:id="88622890">
          <w:marLeft w:val="0"/>
          <w:marRight w:val="0"/>
          <w:marTop w:val="0"/>
          <w:marBottom w:val="0"/>
          <w:divBdr>
            <w:top w:val="none" w:sz="0" w:space="0" w:color="auto"/>
            <w:left w:val="none" w:sz="0" w:space="0" w:color="auto"/>
            <w:bottom w:val="none" w:sz="0" w:space="0" w:color="auto"/>
            <w:right w:val="none" w:sz="0" w:space="0" w:color="auto"/>
          </w:divBdr>
          <w:divsChild>
            <w:div w:id="1138719339">
              <w:marLeft w:val="0"/>
              <w:marRight w:val="0"/>
              <w:marTop w:val="0"/>
              <w:marBottom w:val="0"/>
              <w:divBdr>
                <w:top w:val="none" w:sz="0" w:space="0" w:color="auto"/>
                <w:left w:val="none" w:sz="0" w:space="0" w:color="auto"/>
                <w:bottom w:val="none" w:sz="0" w:space="0" w:color="auto"/>
                <w:right w:val="none" w:sz="0" w:space="0" w:color="auto"/>
              </w:divBdr>
            </w:div>
          </w:divsChild>
        </w:div>
        <w:div w:id="1951548008">
          <w:marLeft w:val="0"/>
          <w:marRight w:val="0"/>
          <w:marTop w:val="0"/>
          <w:marBottom w:val="0"/>
          <w:divBdr>
            <w:top w:val="none" w:sz="0" w:space="0" w:color="auto"/>
            <w:left w:val="none" w:sz="0" w:space="0" w:color="auto"/>
            <w:bottom w:val="none" w:sz="0" w:space="0" w:color="auto"/>
            <w:right w:val="none" w:sz="0" w:space="0" w:color="auto"/>
          </w:divBdr>
          <w:divsChild>
            <w:div w:id="657804113">
              <w:marLeft w:val="0"/>
              <w:marRight w:val="0"/>
              <w:marTop w:val="0"/>
              <w:marBottom w:val="0"/>
              <w:divBdr>
                <w:top w:val="none" w:sz="0" w:space="0" w:color="auto"/>
                <w:left w:val="none" w:sz="0" w:space="0" w:color="auto"/>
                <w:bottom w:val="none" w:sz="0" w:space="0" w:color="auto"/>
                <w:right w:val="none" w:sz="0" w:space="0" w:color="auto"/>
              </w:divBdr>
            </w:div>
          </w:divsChild>
        </w:div>
        <w:div w:id="1906181592">
          <w:marLeft w:val="0"/>
          <w:marRight w:val="0"/>
          <w:marTop w:val="0"/>
          <w:marBottom w:val="0"/>
          <w:divBdr>
            <w:top w:val="none" w:sz="0" w:space="0" w:color="auto"/>
            <w:left w:val="none" w:sz="0" w:space="0" w:color="auto"/>
            <w:bottom w:val="none" w:sz="0" w:space="0" w:color="auto"/>
            <w:right w:val="none" w:sz="0" w:space="0" w:color="auto"/>
          </w:divBdr>
          <w:divsChild>
            <w:div w:id="802847629">
              <w:marLeft w:val="0"/>
              <w:marRight w:val="0"/>
              <w:marTop w:val="0"/>
              <w:marBottom w:val="0"/>
              <w:divBdr>
                <w:top w:val="none" w:sz="0" w:space="0" w:color="auto"/>
                <w:left w:val="none" w:sz="0" w:space="0" w:color="auto"/>
                <w:bottom w:val="none" w:sz="0" w:space="0" w:color="auto"/>
                <w:right w:val="none" w:sz="0" w:space="0" w:color="auto"/>
              </w:divBdr>
            </w:div>
          </w:divsChild>
        </w:div>
        <w:div w:id="840507805">
          <w:marLeft w:val="0"/>
          <w:marRight w:val="0"/>
          <w:marTop w:val="0"/>
          <w:marBottom w:val="0"/>
          <w:divBdr>
            <w:top w:val="none" w:sz="0" w:space="0" w:color="auto"/>
            <w:left w:val="none" w:sz="0" w:space="0" w:color="auto"/>
            <w:bottom w:val="none" w:sz="0" w:space="0" w:color="auto"/>
            <w:right w:val="none" w:sz="0" w:space="0" w:color="auto"/>
          </w:divBdr>
          <w:divsChild>
            <w:div w:id="71574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58414">
      <w:bodyDiv w:val="1"/>
      <w:marLeft w:val="0"/>
      <w:marRight w:val="0"/>
      <w:marTop w:val="0"/>
      <w:marBottom w:val="0"/>
      <w:divBdr>
        <w:top w:val="none" w:sz="0" w:space="0" w:color="auto"/>
        <w:left w:val="none" w:sz="0" w:space="0" w:color="auto"/>
        <w:bottom w:val="none" w:sz="0" w:space="0" w:color="auto"/>
        <w:right w:val="none" w:sz="0" w:space="0" w:color="auto"/>
      </w:divBdr>
    </w:div>
    <w:div w:id="1548369146">
      <w:bodyDiv w:val="1"/>
      <w:marLeft w:val="0"/>
      <w:marRight w:val="0"/>
      <w:marTop w:val="0"/>
      <w:marBottom w:val="0"/>
      <w:divBdr>
        <w:top w:val="none" w:sz="0" w:space="0" w:color="auto"/>
        <w:left w:val="none" w:sz="0" w:space="0" w:color="auto"/>
        <w:bottom w:val="none" w:sz="0" w:space="0" w:color="auto"/>
        <w:right w:val="none" w:sz="0" w:space="0" w:color="auto"/>
      </w:divBdr>
    </w:div>
    <w:div w:id="1891377773">
      <w:bodyDiv w:val="1"/>
      <w:marLeft w:val="0"/>
      <w:marRight w:val="0"/>
      <w:marTop w:val="0"/>
      <w:marBottom w:val="0"/>
      <w:divBdr>
        <w:top w:val="none" w:sz="0" w:space="0" w:color="auto"/>
        <w:left w:val="none" w:sz="0" w:space="0" w:color="auto"/>
        <w:bottom w:val="none" w:sz="0" w:space="0" w:color="auto"/>
        <w:right w:val="none" w:sz="0" w:space="0" w:color="auto"/>
      </w:divBdr>
    </w:div>
    <w:div w:id="2052803777">
      <w:bodyDiv w:val="1"/>
      <w:marLeft w:val="0"/>
      <w:marRight w:val="0"/>
      <w:marTop w:val="0"/>
      <w:marBottom w:val="0"/>
      <w:divBdr>
        <w:top w:val="none" w:sz="0" w:space="0" w:color="auto"/>
        <w:left w:val="none" w:sz="0" w:space="0" w:color="auto"/>
        <w:bottom w:val="none" w:sz="0" w:space="0" w:color="auto"/>
        <w:right w:val="none" w:sz="0" w:space="0" w:color="auto"/>
      </w:divBdr>
      <w:divsChild>
        <w:div w:id="427703639">
          <w:marLeft w:val="0"/>
          <w:marRight w:val="0"/>
          <w:marTop w:val="0"/>
          <w:marBottom w:val="0"/>
          <w:divBdr>
            <w:top w:val="none" w:sz="0" w:space="0" w:color="auto"/>
            <w:left w:val="none" w:sz="0" w:space="0" w:color="auto"/>
            <w:bottom w:val="none" w:sz="0" w:space="0" w:color="auto"/>
            <w:right w:val="none" w:sz="0" w:space="0" w:color="auto"/>
          </w:divBdr>
          <w:divsChild>
            <w:div w:id="1732969850">
              <w:marLeft w:val="0"/>
              <w:marRight w:val="0"/>
              <w:marTop w:val="0"/>
              <w:marBottom w:val="0"/>
              <w:divBdr>
                <w:top w:val="none" w:sz="0" w:space="0" w:color="auto"/>
                <w:left w:val="none" w:sz="0" w:space="0" w:color="auto"/>
                <w:bottom w:val="none" w:sz="0" w:space="0" w:color="auto"/>
                <w:right w:val="none" w:sz="0" w:space="0" w:color="auto"/>
              </w:divBdr>
            </w:div>
          </w:divsChild>
        </w:div>
        <w:div w:id="1782646479">
          <w:marLeft w:val="0"/>
          <w:marRight w:val="0"/>
          <w:marTop w:val="0"/>
          <w:marBottom w:val="0"/>
          <w:divBdr>
            <w:top w:val="none" w:sz="0" w:space="0" w:color="auto"/>
            <w:left w:val="none" w:sz="0" w:space="0" w:color="auto"/>
            <w:bottom w:val="none" w:sz="0" w:space="0" w:color="auto"/>
            <w:right w:val="none" w:sz="0" w:space="0" w:color="auto"/>
          </w:divBdr>
          <w:divsChild>
            <w:div w:id="727070286">
              <w:marLeft w:val="0"/>
              <w:marRight w:val="0"/>
              <w:marTop w:val="0"/>
              <w:marBottom w:val="0"/>
              <w:divBdr>
                <w:top w:val="none" w:sz="0" w:space="0" w:color="auto"/>
                <w:left w:val="none" w:sz="0" w:space="0" w:color="auto"/>
                <w:bottom w:val="none" w:sz="0" w:space="0" w:color="auto"/>
                <w:right w:val="none" w:sz="0" w:space="0" w:color="auto"/>
              </w:divBdr>
            </w:div>
          </w:divsChild>
        </w:div>
        <w:div w:id="972755505">
          <w:marLeft w:val="0"/>
          <w:marRight w:val="0"/>
          <w:marTop w:val="0"/>
          <w:marBottom w:val="0"/>
          <w:divBdr>
            <w:top w:val="none" w:sz="0" w:space="0" w:color="auto"/>
            <w:left w:val="none" w:sz="0" w:space="0" w:color="auto"/>
            <w:bottom w:val="none" w:sz="0" w:space="0" w:color="auto"/>
            <w:right w:val="none" w:sz="0" w:space="0" w:color="auto"/>
          </w:divBdr>
          <w:divsChild>
            <w:div w:id="1123429587">
              <w:marLeft w:val="0"/>
              <w:marRight w:val="0"/>
              <w:marTop w:val="0"/>
              <w:marBottom w:val="0"/>
              <w:divBdr>
                <w:top w:val="none" w:sz="0" w:space="0" w:color="auto"/>
                <w:left w:val="none" w:sz="0" w:space="0" w:color="auto"/>
                <w:bottom w:val="none" w:sz="0" w:space="0" w:color="auto"/>
                <w:right w:val="none" w:sz="0" w:space="0" w:color="auto"/>
              </w:divBdr>
            </w:div>
          </w:divsChild>
        </w:div>
        <w:div w:id="628128500">
          <w:marLeft w:val="0"/>
          <w:marRight w:val="0"/>
          <w:marTop w:val="0"/>
          <w:marBottom w:val="0"/>
          <w:divBdr>
            <w:top w:val="none" w:sz="0" w:space="0" w:color="auto"/>
            <w:left w:val="none" w:sz="0" w:space="0" w:color="auto"/>
            <w:bottom w:val="none" w:sz="0" w:space="0" w:color="auto"/>
            <w:right w:val="none" w:sz="0" w:space="0" w:color="auto"/>
          </w:divBdr>
          <w:divsChild>
            <w:div w:id="1924223109">
              <w:marLeft w:val="0"/>
              <w:marRight w:val="0"/>
              <w:marTop w:val="0"/>
              <w:marBottom w:val="0"/>
              <w:divBdr>
                <w:top w:val="none" w:sz="0" w:space="0" w:color="auto"/>
                <w:left w:val="none" w:sz="0" w:space="0" w:color="auto"/>
                <w:bottom w:val="none" w:sz="0" w:space="0" w:color="auto"/>
                <w:right w:val="none" w:sz="0" w:space="0" w:color="auto"/>
              </w:divBdr>
            </w:div>
          </w:divsChild>
        </w:div>
        <w:div w:id="2096440832">
          <w:marLeft w:val="0"/>
          <w:marRight w:val="0"/>
          <w:marTop w:val="0"/>
          <w:marBottom w:val="0"/>
          <w:divBdr>
            <w:top w:val="none" w:sz="0" w:space="0" w:color="auto"/>
            <w:left w:val="none" w:sz="0" w:space="0" w:color="auto"/>
            <w:bottom w:val="none" w:sz="0" w:space="0" w:color="auto"/>
            <w:right w:val="none" w:sz="0" w:space="0" w:color="auto"/>
          </w:divBdr>
          <w:divsChild>
            <w:div w:id="326789838">
              <w:marLeft w:val="0"/>
              <w:marRight w:val="0"/>
              <w:marTop w:val="0"/>
              <w:marBottom w:val="0"/>
              <w:divBdr>
                <w:top w:val="none" w:sz="0" w:space="0" w:color="auto"/>
                <w:left w:val="none" w:sz="0" w:space="0" w:color="auto"/>
                <w:bottom w:val="none" w:sz="0" w:space="0" w:color="auto"/>
                <w:right w:val="none" w:sz="0" w:space="0" w:color="auto"/>
              </w:divBdr>
            </w:div>
          </w:divsChild>
        </w:div>
        <w:div w:id="1604150279">
          <w:marLeft w:val="0"/>
          <w:marRight w:val="0"/>
          <w:marTop w:val="0"/>
          <w:marBottom w:val="0"/>
          <w:divBdr>
            <w:top w:val="none" w:sz="0" w:space="0" w:color="auto"/>
            <w:left w:val="none" w:sz="0" w:space="0" w:color="auto"/>
            <w:bottom w:val="none" w:sz="0" w:space="0" w:color="auto"/>
            <w:right w:val="none" w:sz="0" w:space="0" w:color="auto"/>
          </w:divBdr>
          <w:divsChild>
            <w:div w:id="133013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1.bin"/><Relationship Id="rId50" Type="http://schemas.openxmlformats.org/officeDocument/2006/relationships/image" Target="media/image23.wmf"/><Relationship Id="rId55" Type="http://schemas.openxmlformats.org/officeDocument/2006/relationships/oleObject" Target="embeddings/oleObject25.bin"/><Relationship Id="rId63" Type="http://schemas.microsoft.com/office/2007/relationships/hdphoto" Target="media/hdphoto3.wdp"/><Relationship Id="rId68" Type="http://schemas.openxmlformats.org/officeDocument/2006/relationships/hyperlink" Target="https://www.google.com/search?q=https://doi.org/10.1051/e3sconf/202341901001" TargetMode="External"/><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image" Target="media/image27.png"/><Relationship Id="rId66" Type="http://schemas.openxmlformats.org/officeDocument/2006/relationships/image" Target="media/image31.png"/><Relationship Id="rId5"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2.bin"/><Relationship Id="rId57" Type="http://schemas.openxmlformats.org/officeDocument/2006/relationships/oleObject" Target="embeddings/oleObject26.bin"/><Relationship Id="rId61" Type="http://schemas.microsoft.com/office/2007/relationships/hdphoto" Target="media/hdphoto2.wdp"/><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png"/><Relationship Id="rId65" Type="http://schemas.microsoft.com/office/2007/relationships/hdphoto" Target="media/hdphoto4.wdp"/><Relationship Id="rId4" Type="http://schemas.openxmlformats.org/officeDocument/2006/relationships/webSettings" Target="webSettings.xml"/><Relationship Id="rId9" Type="http://schemas.openxmlformats.org/officeDocument/2006/relationships/hyperlink" Target="mailto:sh.umirov@gmail.com" TargetMode="External"/><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png"/><Relationship Id="rId69"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oleObject" Target="embeddings/oleObject23.bin"/><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59" Type="http://schemas.microsoft.com/office/2007/relationships/hdphoto" Target="media/hdphoto1.wdp"/><Relationship Id="rId67" Type="http://schemas.microsoft.com/office/2007/relationships/hdphoto" Target="media/hdphoto5.wdp"/><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image" Target="media/image25.wmf"/><Relationship Id="rId62" Type="http://schemas.openxmlformats.org/officeDocument/2006/relationships/image" Target="media/image29.pn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1623</Words>
  <Characters>9252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cp:lastModifiedBy>
  <cp:revision>6</cp:revision>
  <dcterms:created xsi:type="dcterms:W3CDTF">2026-04-29T13:29:00Z</dcterms:created>
  <dcterms:modified xsi:type="dcterms:W3CDTF">2026-06-11T05:46:00Z</dcterms:modified>
</cp:coreProperties>
</file>